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CE400C">
      <w:pPr>
        <w:pStyle w:val="NormalWeb"/>
        <w:spacing w:before="0" w:beforeAutospacing="0" w:after="0" w:afterAutospacing="0"/>
        <w:jc w:val="center"/>
        <w:rPr>
          <w:rFonts w:ascii="Arial" w:hAnsi="Arial" w:cs="Arial"/>
          <w:b/>
          <w:bCs/>
          <w:caps/>
          <w:color w:val="002F5D"/>
          <w:sz w:val="28"/>
          <w:szCs w:val="28"/>
        </w:rPr>
      </w:pPr>
    </w:p>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CE400C">
      <w:pPr>
        <w:pStyle w:val="NormalWeb"/>
        <w:spacing w:before="0" w:beforeAutospacing="0" w:after="0" w:afterAutospacing="0"/>
        <w:jc w:val="both"/>
        <w:rPr>
          <w:rFonts w:ascii="Arial" w:hAnsi="Arial" w:cs="Arial"/>
          <w:b/>
          <w:bCs/>
          <w:caps/>
          <w:color w:val="376889"/>
        </w:rPr>
      </w:pPr>
    </w:p>
    <w:p w:rsidR="00492615" w:rsidRDefault="00492615" w:rsidP="00492615">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NACIONALES</w:t>
      </w:r>
    </w:p>
    <w:p w:rsidR="00E448B5" w:rsidRDefault="00E448B5" w:rsidP="00492615">
      <w:pPr>
        <w:pStyle w:val="NormalWeb"/>
        <w:spacing w:before="0" w:beforeAutospacing="0" w:after="0" w:afterAutospacing="0"/>
        <w:jc w:val="both"/>
        <w:rPr>
          <w:rFonts w:ascii="Arial" w:hAnsi="Arial" w:cs="Arial"/>
          <w:b/>
          <w:bCs/>
          <w:caps/>
          <w:color w:val="002F5D"/>
        </w:rPr>
      </w:pPr>
    </w:p>
    <w:p w:rsidR="00E448B5" w:rsidRDefault="00E448B5" w:rsidP="00492615">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LEGISLACION</w:t>
      </w:r>
    </w:p>
    <w:p w:rsidR="00492615" w:rsidRDefault="00492615" w:rsidP="008C4219">
      <w:pPr>
        <w:pStyle w:val="NormalWeb"/>
        <w:spacing w:before="0" w:beforeAutospacing="0" w:after="0" w:afterAutospacing="0"/>
        <w:jc w:val="both"/>
        <w:rPr>
          <w:rFonts w:ascii="Arial" w:hAnsi="Arial" w:cs="Arial"/>
          <w:b/>
          <w:bCs/>
          <w:caps/>
          <w:color w:val="002F5D"/>
        </w:rPr>
      </w:pPr>
    </w:p>
    <w:p w:rsidR="00637A77" w:rsidRDefault="00E448B5" w:rsidP="009A4981">
      <w:pPr>
        <w:pStyle w:val="NormalWeb"/>
        <w:spacing w:before="0" w:beforeAutospacing="0" w:after="0" w:afterAutospacing="0"/>
        <w:jc w:val="both"/>
        <w:rPr>
          <w:rFonts w:ascii="Arial" w:hAnsi="Arial" w:cs="Arial"/>
          <w:b/>
          <w:bCs/>
          <w:caps/>
          <w:color w:val="002F5D"/>
          <w:sz w:val="22"/>
          <w:szCs w:val="22"/>
        </w:rPr>
      </w:pPr>
      <w:r w:rsidRPr="00E448B5">
        <w:rPr>
          <w:rFonts w:ascii="Arial" w:hAnsi="Arial" w:cs="Arial"/>
          <w:b/>
          <w:bCs/>
          <w:caps/>
          <w:color w:val="002F5D"/>
          <w:sz w:val="22"/>
          <w:szCs w:val="22"/>
        </w:rPr>
        <w:t>Impuesto al Valor Agregado. Reintegro por compras con tarjetas de débito para jubilados, pensionados y beneficiarios de asignación universal por hijo - RESOLUCIÓN GENERAL (</w:t>
      </w:r>
      <w:proofErr w:type="spellStart"/>
      <w:r w:rsidRPr="00E448B5">
        <w:rPr>
          <w:rFonts w:ascii="Arial" w:hAnsi="Arial" w:cs="Arial"/>
          <w:b/>
          <w:bCs/>
          <w:caps/>
          <w:color w:val="002F5D"/>
          <w:sz w:val="22"/>
          <w:szCs w:val="22"/>
        </w:rPr>
        <w:t>Adm</w:t>
      </w:r>
      <w:proofErr w:type="spellEnd"/>
      <w:r w:rsidRPr="00E448B5">
        <w:rPr>
          <w:rFonts w:ascii="Arial" w:hAnsi="Arial" w:cs="Arial"/>
          <w:b/>
          <w:bCs/>
          <w:caps/>
          <w:color w:val="002F5D"/>
          <w:sz w:val="22"/>
          <w:szCs w:val="22"/>
        </w:rPr>
        <w:t>. Fed. Ingresos Públicos) 4676</w:t>
      </w:r>
    </w:p>
    <w:p w:rsidR="00E448B5" w:rsidRDefault="00E448B5" w:rsidP="009A4981">
      <w:pPr>
        <w:pStyle w:val="NormalWeb"/>
        <w:spacing w:before="0" w:beforeAutospacing="0" w:after="0" w:afterAutospacing="0"/>
        <w:jc w:val="both"/>
        <w:rPr>
          <w:rFonts w:ascii="Arial" w:hAnsi="Arial" w:cs="Arial"/>
          <w:b/>
          <w:bCs/>
          <w:caps/>
          <w:color w:val="002F5D"/>
          <w:sz w:val="22"/>
          <w:szCs w:val="22"/>
        </w:rPr>
      </w:pPr>
    </w:p>
    <w:p w:rsidR="00E448B5" w:rsidRDefault="00E448B5" w:rsidP="00E448B5">
      <w:pPr>
        <w:pStyle w:val="NormalWeb"/>
        <w:spacing w:before="0" w:beforeAutospacing="0" w:after="0" w:afterAutospacing="0" w:line="360" w:lineRule="auto"/>
        <w:jc w:val="both"/>
        <w:rPr>
          <w:rStyle w:val="negritanovedades"/>
          <w:b w:val="0"/>
          <w:lang w:val="es-AR" w:eastAsia="es-AR"/>
        </w:rPr>
      </w:pPr>
      <w:r w:rsidRPr="00E448B5">
        <w:rPr>
          <w:rStyle w:val="negritanovedades"/>
          <w:b w:val="0"/>
          <w:lang w:val="es-AR" w:eastAsia="es-AR"/>
        </w:rPr>
        <w:t>Se implementa un régimen de reintegros para los sujetos que perciban jubilaciones y pensiones, asignaciones universales por hijo, asignaciones por embarazo o pensiones no contributivas, por las compras de bienes muebles que realicen mediante tarjetas de débito.</w:t>
      </w:r>
    </w:p>
    <w:p w:rsidR="00E448B5" w:rsidRDefault="00E448B5" w:rsidP="00E448B5">
      <w:pPr>
        <w:pStyle w:val="NormalWeb"/>
        <w:spacing w:before="0" w:beforeAutospacing="0" w:after="0" w:afterAutospacing="0" w:line="360" w:lineRule="auto"/>
        <w:jc w:val="both"/>
        <w:rPr>
          <w:rStyle w:val="negritanovedades"/>
          <w:b w:val="0"/>
          <w:lang w:val="es-AR" w:eastAsia="es-AR"/>
        </w:rPr>
      </w:pPr>
      <w:r w:rsidRPr="00E448B5">
        <w:rPr>
          <w:rStyle w:val="negritanovedades"/>
          <w:b w:val="0"/>
          <w:lang w:val="es-AR" w:eastAsia="es-AR"/>
        </w:rPr>
        <w:t>El citado reintegro será del 15% del monto total de la compra, con un tope de $700 mensuales.</w:t>
      </w:r>
      <w:r w:rsidRPr="00E448B5">
        <w:rPr>
          <w:rStyle w:val="negritanovedades"/>
          <w:b w:val="0"/>
          <w:lang w:val="es-AR" w:eastAsia="es-AR"/>
        </w:rPr>
        <w:br/>
        <w:t>Asimismo, el mismo será acreditado por las entidades financieras en las cuentas de los beneficiarios dentro de las 24 horas hábiles de efectuada la operación de compra.</w:t>
      </w:r>
    </w:p>
    <w:p w:rsidR="00E448B5" w:rsidRPr="00E448B5" w:rsidRDefault="00E448B5" w:rsidP="00E448B5">
      <w:pPr>
        <w:pStyle w:val="NormalWeb"/>
        <w:spacing w:before="0" w:beforeAutospacing="0" w:after="0" w:afterAutospacing="0" w:line="360" w:lineRule="auto"/>
        <w:jc w:val="both"/>
        <w:rPr>
          <w:rStyle w:val="negritanovedades"/>
          <w:b w:val="0"/>
          <w:bCs w:val="0"/>
          <w:lang w:val="es-AR" w:eastAsia="es-AR"/>
        </w:rPr>
      </w:pPr>
      <w:r w:rsidRPr="00E448B5">
        <w:rPr>
          <w:rStyle w:val="negritanovedades"/>
          <w:b w:val="0"/>
          <w:lang w:val="es-AR" w:eastAsia="es-AR"/>
        </w:rPr>
        <w:t>El presente régimen se aplicará para las operaciones efectuadas entre el 1/3/2020 y el 31/8/2020</w:t>
      </w:r>
    </w:p>
    <w:p w:rsidR="00E448B5" w:rsidRPr="00E448B5" w:rsidRDefault="00E448B5" w:rsidP="009A4981">
      <w:pPr>
        <w:pStyle w:val="NormalWeb"/>
        <w:spacing w:before="0" w:beforeAutospacing="0" w:after="0" w:afterAutospacing="0"/>
        <w:jc w:val="both"/>
        <w:rPr>
          <w:rFonts w:ascii="Arial" w:hAnsi="Arial" w:cs="Arial"/>
          <w:b/>
          <w:bCs/>
          <w:caps/>
          <w:color w:val="002F5D"/>
          <w:sz w:val="22"/>
          <w:szCs w:val="22"/>
        </w:rPr>
      </w:pPr>
    </w:p>
    <w:p w:rsidR="00E448B5" w:rsidRDefault="00E448B5" w:rsidP="00E448B5">
      <w:pPr>
        <w:pStyle w:val="NormalWeb"/>
        <w:spacing w:before="0" w:beforeAutospacing="0" w:after="0" w:afterAutospacing="0"/>
        <w:jc w:val="both"/>
        <w:rPr>
          <w:rFonts w:ascii="Arial" w:hAnsi="Arial" w:cs="Arial"/>
          <w:b/>
          <w:bCs/>
          <w:caps/>
          <w:color w:val="7E4F6F"/>
          <w:sz w:val="21"/>
          <w:szCs w:val="21"/>
        </w:rPr>
      </w:pPr>
      <w:r w:rsidRPr="00E448B5">
        <w:rPr>
          <w:rFonts w:ascii="Arial" w:hAnsi="Arial" w:cs="Arial"/>
          <w:b/>
          <w:bCs/>
          <w:caps/>
          <w:color w:val="002F5D"/>
          <w:sz w:val="22"/>
          <w:szCs w:val="22"/>
        </w:rPr>
        <w:t>Moratoria para PYMES. Guías para adherirse y refinanciar deudas</w:t>
      </w:r>
    </w:p>
    <w:p w:rsidR="004C6C9F" w:rsidRPr="004C6C9F" w:rsidRDefault="004C6C9F" w:rsidP="004C6C9F">
      <w:pPr>
        <w:pStyle w:val="NormalWeb"/>
        <w:spacing w:before="0" w:beforeAutospacing="0" w:after="0" w:afterAutospacing="0"/>
        <w:jc w:val="both"/>
        <w:rPr>
          <w:rFonts w:ascii="Arial" w:hAnsi="Arial" w:cs="Arial"/>
          <w:b/>
          <w:bCs/>
          <w:caps/>
          <w:color w:val="002F5D"/>
          <w:sz w:val="22"/>
          <w:szCs w:val="22"/>
        </w:rPr>
      </w:pPr>
    </w:p>
    <w:p w:rsidR="00E448B5" w:rsidRDefault="00E448B5" w:rsidP="00637A77">
      <w:pPr>
        <w:pStyle w:val="NormalWeb"/>
        <w:spacing w:before="0" w:beforeAutospacing="0" w:after="0" w:afterAutospacing="0" w:line="360" w:lineRule="auto"/>
        <w:jc w:val="both"/>
        <w:rPr>
          <w:rStyle w:val="negritanovedades"/>
          <w:b w:val="0"/>
          <w:lang w:val="es-AR" w:eastAsia="es-AR"/>
        </w:rPr>
      </w:pPr>
      <w:r w:rsidRPr="00E448B5">
        <w:rPr>
          <w:rStyle w:val="negritanovedades"/>
          <w:b w:val="0"/>
          <w:lang w:val="es-AR" w:eastAsia="es-AR"/>
        </w:rPr>
        <w:t xml:space="preserve">La AFIP publicó las guías que explican cómo adherirse al régimen de regularización de deudas de la Ley 27541 destinado a las micro, pequeñas y medianas empresas, </w:t>
      </w:r>
      <w:proofErr w:type="spellStart"/>
      <w:r w:rsidRPr="00E448B5">
        <w:rPr>
          <w:rStyle w:val="negritanovedades"/>
          <w:b w:val="0"/>
          <w:lang w:val="es-AR" w:eastAsia="es-AR"/>
        </w:rPr>
        <w:t>monotributistas</w:t>
      </w:r>
      <w:proofErr w:type="spellEnd"/>
      <w:r w:rsidRPr="00E448B5">
        <w:rPr>
          <w:rStyle w:val="negritanovedades"/>
          <w:b w:val="0"/>
          <w:lang w:val="es-AR" w:eastAsia="es-AR"/>
        </w:rPr>
        <w:t xml:space="preserve">, autónomos, consorcios de propietarios y otras entidades sin fines de lucro, y también cómo se refinancia una deuda incluida en un plan vigente. </w:t>
      </w:r>
    </w:p>
    <w:p w:rsidR="00E448B5" w:rsidRDefault="00E448B5" w:rsidP="00637A77">
      <w:pPr>
        <w:pStyle w:val="NormalWeb"/>
        <w:spacing w:before="0" w:beforeAutospacing="0" w:after="0" w:afterAutospacing="0" w:line="360" w:lineRule="auto"/>
        <w:jc w:val="both"/>
        <w:rPr>
          <w:rStyle w:val="negritanovedades"/>
          <w:b w:val="0"/>
          <w:lang w:val="es-AR" w:eastAsia="es-AR"/>
        </w:rPr>
      </w:pPr>
      <w:r w:rsidRPr="00E448B5">
        <w:rPr>
          <w:rStyle w:val="negritanovedades"/>
          <w:b w:val="0"/>
          <w:lang w:val="es-AR" w:eastAsia="es-AR"/>
        </w:rPr>
        <w:t xml:space="preserve">- </w:t>
      </w:r>
      <w:hyperlink r:id="rId8" w:history="1">
        <w:r w:rsidRPr="00E448B5">
          <w:rPr>
            <w:rStyle w:val="negritanovedades"/>
            <w:b w:val="0"/>
            <w:lang w:val="es-AR" w:eastAsia="es-AR"/>
          </w:rPr>
          <w:t>Guía para adherirse a la moratoria</w:t>
        </w:r>
      </w:hyperlink>
    </w:p>
    <w:p w:rsidR="00E448B5" w:rsidRDefault="00E448B5" w:rsidP="00637A77">
      <w:pPr>
        <w:pStyle w:val="NormalWeb"/>
        <w:spacing w:before="0" w:beforeAutospacing="0" w:after="0" w:afterAutospacing="0" w:line="360" w:lineRule="auto"/>
        <w:jc w:val="both"/>
        <w:rPr>
          <w:rStyle w:val="negritanovedades"/>
          <w:b w:val="0"/>
          <w:lang w:val="es-AR" w:eastAsia="es-AR"/>
        </w:rPr>
      </w:pPr>
      <w:r w:rsidRPr="00E448B5">
        <w:rPr>
          <w:rStyle w:val="negritanovedades"/>
          <w:b w:val="0"/>
          <w:lang w:val="es-AR" w:eastAsia="es-AR"/>
        </w:rPr>
        <w:t xml:space="preserve">- </w:t>
      </w:r>
      <w:hyperlink r:id="rId9" w:history="1">
        <w:r w:rsidRPr="00E448B5">
          <w:rPr>
            <w:rStyle w:val="negritanovedades"/>
            <w:b w:val="0"/>
            <w:lang w:val="es-AR" w:eastAsia="es-AR"/>
          </w:rPr>
          <w:t>Guía para refinanciar una deuda</w:t>
        </w:r>
      </w:hyperlink>
    </w:p>
    <w:p w:rsidR="00E448B5" w:rsidRDefault="00E448B5" w:rsidP="00637A77">
      <w:pPr>
        <w:pStyle w:val="NormalWeb"/>
        <w:spacing w:before="0" w:beforeAutospacing="0" w:after="0" w:afterAutospacing="0" w:line="360" w:lineRule="auto"/>
        <w:jc w:val="both"/>
        <w:rPr>
          <w:rStyle w:val="negritanovedades"/>
          <w:b w:val="0"/>
          <w:lang w:val="es-AR" w:eastAsia="es-AR"/>
        </w:rPr>
      </w:pPr>
      <w:r w:rsidRPr="00E448B5">
        <w:rPr>
          <w:rStyle w:val="negritanovedades"/>
          <w:b w:val="0"/>
          <w:lang w:val="es-AR" w:eastAsia="es-AR"/>
        </w:rPr>
        <w:t xml:space="preserve">Se recuerda que aquellos que se adhieran antes del 31 de marzo, obtendrán mayores beneficios: </w:t>
      </w:r>
      <w:r w:rsidRPr="00E448B5">
        <w:rPr>
          <w:rStyle w:val="negritanovedades"/>
          <w:b w:val="0"/>
          <w:lang w:val="es-AR" w:eastAsia="es-AR"/>
        </w:rPr>
        <w:br/>
        <w:t xml:space="preserve">- la primera cuota se pagará en julio, </w:t>
      </w:r>
    </w:p>
    <w:p w:rsidR="00E448B5" w:rsidRDefault="00E448B5" w:rsidP="00637A77">
      <w:pPr>
        <w:pStyle w:val="NormalWeb"/>
        <w:spacing w:before="0" w:beforeAutospacing="0" w:after="0" w:afterAutospacing="0" w:line="360" w:lineRule="auto"/>
        <w:jc w:val="both"/>
        <w:rPr>
          <w:rStyle w:val="negritanovedades"/>
          <w:b w:val="0"/>
          <w:lang w:val="es-AR" w:eastAsia="es-AR"/>
        </w:rPr>
      </w:pPr>
      <w:r w:rsidRPr="00E448B5">
        <w:rPr>
          <w:rStyle w:val="negritanovedades"/>
          <w:b w:val="0"/>
          <w:lang w:val="es-AR" w:eastAsia="es-AR"/>
        </w:rPr>
        <w:t xml:space="preserve">- tendrán un máximo de 60 o 120 cuotas según el tipo de deuda y, </w:t>
      </w:r>
    </w:p>
    <w:p w:rsidR="00E448B5" w:rsidRDefault="00E448B5" w:rsidP="00637A77">
      <w:pPr>
        <w:pStyle w:val="NormalWeb"/>
        <w:spacing w:before="0" w:beforeAutospacing="0" w:after="0" w:afterAutospacing="0" w:line="360" w:lineRule="auto"/>
        <w:jc w:val="both"/>
        <w:rPr>
          <w:rStyle w:val="negritanovedades"/>
          <w:b w:val="0"/>
          <w:lang w:val="es-AR" w:eastAsia="es-AR"/>
        </w:rPr>
      </w:pPr>
      <w:r w:rsidRPr="00E448B5">
        <w:rPr>
          <w:rStyle w:val="negritanovedades"/>
          <w:b w:val="0"/>
          <w:lang w:val="es-AR" w:eastAsia="es-AR"/>
        </w:rPr>
        <w:t>- el pago a cuenta podrá variar de 1 a 5 %.</w:t>
      </w:r>
    </w:p>
    <w:p w:rsidR="00637A77" w:rsidRDefault="00E448B5" w:rsidP="00637A77">
      <w:pPr>
        <w:pStyle w:val="NormalWeb"/>
        <w:spacing w:before="0" w:beforeAutospacing="0" w:after="0" w:afterAutospacing="0" w:line="360" w:lineRule="auto"/>
        <w:jc w:val="both"/>
        <w:rPr>
          <w:rStyle w:val="negritanovedades"/>
          <w:b w:val="0"/>
          <w:lang w:val="es-AR" w:eastAsia="es-AR"/>
        </w:rPr>
      </w:pPr>
      <w:r w:rsidRPr="00E448B5">
        <w:rPr>
          <w:rStyle w:val="negritanovedades"/>
          <w:b w:val="0"/>
          <w:lang w:val="es-AR" w:eastAsia="es-AR"/>
        </w:rPr>
        <w:lastRenderedPageBreak/>
        <w:t>Para los que se adhieran en abril, deberán abonar la primera cuota al mes siguiente, tendrán un máximo de 40 o 90 cuotas según el tipo de deuda y el pago a cuenta será de 3 a 5 % de la deuda consolidada.</w:t>
      </w:r>
    </w:p>
    <w:p w:rsidR="00E448B5" w:rsidRDefault="00E448B5" w:rsidP="00637A77">
      <w:pPr>
        <w:pStyle w:val="NormalWeb"/>
        <w:spacing w:before="0" w:beforeAutospacing="0" w:after="0" w:afterAutospacing="0" w:line="360" w:lineRule="auto"/>
        <w:jc w:val="both"/>
        <w:rPr>
          <w:rStyle w:val="negritanovedades"/>
          <w:b w:val="0"/>
          <w:lang w:val="es-AR" w:eastAsia="es-AR"/>
        </w:rPr>
      </w:pPr>
    </w:p>
    <w:p w:rsidR="00E448B5" w:rsidRPr="00E448B5" w:rsidRDefault="00E448B5" w:rsidP="00637A77">
      <w:pPr>
        <w:pStyle w:val="NormalWeb"/>
        <w:spacing w:before="0" w:beforeAutospacing="0" w:after="0" w:afterAutospacing="0" w:line="360" w:lineRule="auto"/>
        <w:jc w:val="both"/>
        <w:rPr>
          <w:rFonts w:ascii="Arial" w:hAnsi="Arial" w:cs="Arial"/>
          <w:caps/>
          <w:color w:val="002F5D"/>
          <w:sz w:val="22"/>
          <w:szCs w:val="22"/>
        </w:rPr>
      </w:pPr>
      <w:r w:rsidRPr="00E448B5">
        <w:rPr>
          <w:rFonts w:ascii="Arial" w:hAnsi="Arial" w:cs="Arial"/>
          <w:b/>
          <w:bCs/>
          <w:caps/>
          <w:color w:val="002F5D"/>
          <w:sz w:val="22"/>
          <w:szCs w:val="22"/>
        </w:rPr>
        <w:t>Guía para inscribirse en el registro y obtener el Certificado</w:t>
      </w:r>
    </w:p>
    <w:p w:rsidR="00492615" w:rsidRDefault="00E448B5" w:rsidP="00637A77">
      <w:pPr>
        <w:pStyle w:val="NormalWeb"/>
        <w:spacing w:before="0" w:beforeAutospacing="0" w:after="0" w:afterAutospacing="0" w:line="360" w:lineRule="auto"/>
        <w:jc w:val="both"/>
        <w:rPr>
          <w:rStyle w:val="negritanovedades"/>
          <w:b w:val="0"/>
          <w:lang w:val="es-AR" w:eastAsia="es-AR"/>
        </w:rPr>
      </w:pPr>
      <w:r w:rsidRPr="00E448B5">
        <w:rPr>
          <w:rStyle w:val="negritanovedades"/>
          <w:b w:val="0"/>
          <w:lang w:val="es-AR" w:eastAsia="es-AR"/>
        </w:rPr>
        <w:t>El Ministerio de Desarrollo Productivo dio a conocer guía que explica el procedimiento y requisitos para inscribirse como Micro, Pequeña o Mediana Empresa (</w:t>
      </w:r>
      <w:proofErr w:type="spellStart"/>
      <w:r w:rsidRPr="00E448B5">
        <w:rPr>
          <w:rStyle w:val="negritanovedades"/>
          <w:b w:val="0"/>
          <w:lang w:val="es-AR" w:eastAsia="es-AR"/>
        </w:rPr>
        <w:t>MiPyME</w:t>
      </w:r>
      <w:proofErr w:type="spellEnd"/>
      <w:r w:rsidRPr="00E448B5">
        <w:rPr>
          <w:rStyle w:val="negritanovedades"/>
          <w:b w:val="0"/>
          <w:lang w:val="es-AR" w:eastAsia="es-AR"/>
        </w:rPr>
        <w:t>) y para obtener el Certificado MIPYME, como así también su renovación automática, y los beneficios que se pueden obtener</w:t>
      </w:r>
    </w:p>
    <w:p w:rsidR="00E448B5" w:rsidRDefault="00E448B5" w:rsidP="00637A77">
      <w:pPr>
        <w:pStyle w:val="NormalWeb"/>
        <w:spacing w:before="0" w:beforeAutospacing="0" w:after="0" w:afterAutospacing="0" w:line="360" w:lineRule="auto"/>
        <w:jc w:val="both"/>
        <w:rPr>
          <w:rStyle w:val="negritanovedades"/>
          <w:b w:val="0"/>
          <w:lang w:val="es-AR" w:eastAsia="es-AR"/>
        </w:rPr>
      </w:pPr>
    </w:p>
    <w:p w:rsidR="00E448B5" w:rsidRDefault="00E448B5" w:rsidP="00637A77">
      <w:pPr>
        <w:pStyle w:val="NormalWeb"/>
        <w:spacing w:before="0" w:beforeAutospacing="0" w:after="0" w:afterAutospacing="0" w:line="360" w:lineRule="auto"/>
        <w:jc w:val="both"/>
        <w:rPr>
          <w:rFonts w:ascii="Arial" w:hAnsi="Arial" w:cs="Arial"/>
          <w:b/>
          <w:bCs/>
          <w:caps/>
          <w:color w:val="002F5D"/>
          <w:sz w:val="22"/>
          <w:szCs w:val="22"/>
        </w:rPr>
      </w:pPr>
      <w:r w:rsidRPr="00E448B5">
        <w:rPr>
          <w:rFonts w:ascii="Arial" w:hAnsi="Arial" w:cs="Arial"/>
          <w:b/>
          <w:bCs/>
          <w:caps/>
          <w:color w:val="002F5D"/>
          <w:sz w:val="22"/>
          <w:szCs w:val="22"/>
        </w:rPr>
        <w:t>La situación de socios y directores de sociedades</w:t>
      </w:r>
    </w:p>
    <w:p w:rsidR="00E448B5" w:rsidRDefault="00E448B5" w:rsidP="00637A77">
      <w:pPr>
        <w:pStyle w:val="NormalWeb"/>
        <w:spacing w:before="0" w:beforeAutospacing="0" w:after="0" w:afterAutospacing="0" w:line="360" w:lineRule="auto"/>
        <w:jc w:val="both"/>
        <w:rPr>
          <w:rStyle w:val="negritanovedades"/>
          <w:b w:val="0"/>
          <w:lang w:val="es-AR" w:eastAsia="es-AR"/>
        </w:rPr>
      </w:pPr>
      <w:r w:rsidRPr="00E448B5">
        <w:rPr>
          <w:rStyle w:val="negritanovedades"/>
          <w:b w:val="0"/>
          <w:lang w:val="es-AR" w:eastAsia="es-AR"/>
        </w:rPr>
        <w:t xml:space="preserve">El Consejo Profesional Ciencias Económicas de CABA señala que la Subsecretaría de Financiamiento y Competitividad </w:t>
      </w:r>
      <w:proofErr w:type="spellStart"/>
      <w:r w:rsidRPr="00E448B5">
        <w:rPr>
          <w:rStyle w:val="negritanovedades"/>
          <w:b w:val="0"/>
          <w:lang w:val="es-AR" w:eastAsia="es-AR"/>
        </w:rPr>
        <w:t>PyME</w:t>
      </w:r>
      <w:proofErr w:type="spellEnd"/>
      <w:r w:rsidRPr="00E448B5">
        <w:rPr>
          <w:rStyle w:val="negritanovedades"/>
          <w:b w:val="0"/>
          <w:lang w:val="es-AR" w:eastAsia="es-AR"/>
        </w:rPr>
        <w:t xml:space="preserve"> de la Nación aclara que los socios de sociedades y directores que no ejerzan una actividad independiente no son considerados Pyme. Aquellos certificados Pyme que hayan sido obtenidos bajo dichas condiciones serán dados de baja por el organismo. El Consejo Profesional Ciencias Económicas de CABA solicitará la revisión del presente criterio</w:t>
      </w:r>
      <w:r>
        <w:rPr>
          <w:rStyle w:val="negritanovedades"/>
          <w:b w:val="0"/>
          <w:lang w:val="es-AR" w:eastAsia="es-AR"/>
        </w:rPr>
        <w:t>.</w:t>
      </w:r>
    </w:p>
    <w:p w:rsidR="00E448B5" w:rsidRDefault="00E448B5" w:rsidP="00637A77">
      <w:pPr>
        <w:pStyle w:val="NormalWeb"/>
        <w:spacing w:before="0" w:beforeAutospacing="0" w:after="0" w:afterAutospacing="0" w:line="360" w:lineRule="auto"/>
        <w:jc w:val="both"/>
        <w:rPr>
          <w:rStyle w:val="negritanovedades"/>
          <w:b w:val="0"/>
          <w:lang w:val="es-AR" w:eastAsia="es-AR"/>
        </w:rPr>
      </w:pPr>
    </w:p>
    <w:p w:rsidR="00E448B5" w:rsidRDefault="00E448B5" w:rsidP="00E448B5">
      <w:pPr>
        <w:pStyle w:val="NormalWeb"/>
        <w:spacing w:before="0" w:beforeAutospacing="0" w:after="0" w:afterAutospacing="0"/>
        <w:jc w:val="both"/>
        <w:rPr>
          <w:rFonts w:ascii="Arial" w:hAnsi="Arial" w:cs="Arial"/>
          <w:b/>
          <w:bCs/>
          <w:caps/>
          <w:color w:val="002F5D"/>
          <w:sz w:val="22"/>
          <w:szCs w:val="22"/>
        </w:rPr>
      </w:pPr>
      <w:r w:rsidRPr="00E448B5">
        <w:rPr>
          <w:rFonts w:ascii="Arial" w:hAnsi="Arial" w:cs="Arial"/>
          <w:b/>
          <w:bCs/>
          <w:caps/>
          <w:color w:val="002F5D"/>
          <w:sz w:val="22"/>
          <w:szCs w:val="22"/>
        </w:rPr>
        <w:t>Repatriación de fondos provenientes de una persona jurídica del exterior</w:t>
      </w:r>
      <w:r>
        <w:rPr>
          <w:rFonts w:ascii="Arial" w:hAnsi="Arial" w:cs="Arial"/>
          <w:b/>
          <w:bCs/>
          <w:caps/>
          <w:color w:val="002F5D"/>
          <w:sz w:val="22"/>
          <w:szCs w:val="22"/>
        </w:rPr>
        <w:t xml:space="preserve"> - </w:t>
      </w:r>
      <w:r w:rsidRPr="00E448B5">
        <w:rPr>
          <w:rFonts w:ascii="Arial" w:hAnsi="Arial" w:cs="Arial"/>
          <w:b/>
          <w:bCs/>
          <w:caps/>
          <w:color w:val="002F5D"/>
          <w:sz w:val="22"/>
          <w:szCs w:val="22"/>
        </w:rPr>
        <w:t>COMUNICACIÓN “B” 11952 DEL BCRA</w:t>
      </w:r>
    </w:p>
    <w:p w:rsidR="00E448B5" w:rsidRDefault="00E448B5" w:rsidP="00E448B5">
      <w:pPr>
        <w:pStyle w:val="NormalWeb"/>
        <w:spacing w:before="0" w:beforeAutospacing="0" w:after="0" w:afterAutospacing="0"/>
        <w:jc w:val="both"/>
        <w:rPr>
          <w:rFonts w:ascii="Arial" w:hAnsi="Arial" w:cs="Arial"/>
          <w:b/>
          <w:bCs/>
          <w:caps/>
          <w:color w:val="002F5D"/>
          <w:sz w:val="22"/>
          <w:szCs w:val="22"/>
        </w:rPr>
      </w:pPr>
    </w:p>
    <w:p w:rsidR="00E448B5" w:rsidRPr="00E448B5" w:rsidRDefault="00E448B5" w:rsidP="00E448B5">
      <w:pPr>
        <w:pStyle w:val="NormalWeb"/>
        <w:spacing w:before="0" w:beforeAutospacing="0" w:after="0" w:afterAutospacing="0" w:line="360" w:lineRule="auto"/>
        <w:jc w:val="both"/>
        <w:rPr>
          <w:rStyle w:val="negritanovedades"/>
          <w:b w:val="0"/>
          <w:bCs w:val="0"/>
          <w:lang w:val="es-AR" w:eastAsia="es-AR"/>
        </w:rPr>
      </w:pPr>
      <w:r w:rsidRPr="00E448B5">
        <w:rPr>
          <w:rStyle w:val="negritanovedades"/>
          <w:b w:val="0"/>
          <w:lang w:val="es-AR" w:eastAsia="es-AR"/>
        </w:rPr>
        <w:t>Se aclara el tratamiento aplicable en el caso de repatriaciones de fondos provenientes de personas jurídicas del exterior cuando el titular de la cuenta de destino sea una persona humana que tenga participación en el capital de la citada entidad del exterior. Por otra parte también se aclara el tratamiento a aplicar en el caso de repatriaciones efectuadas con anterioridad a las disposiciones que establecían la apertura de la “Caja de ahorros repatriación de fondos - Bienes Personales Ley 27541</w:t>
      </w:r>
    </w:p>
    <w:p w:rsidR="00E448B5" w:rsidRPr="00E448B5" w:rsidRDefault="00E448B5" w:rsidP="00E448B5">
      <w:pPr>
        <w:pStyle w:val="NormalWeb"/>
        <w:spacing w:before="0" w:beforeAutospacing="0" w:after="0" w:afterAutospacing="0" w:line="360" w:lineRule="auto"/>
        <w:jc w:val="both"/>
        <w:rPr>
          <w:rStyle w:val="negritanovedades"/>
          <w:b w:val="0"/>
          <w:lang w:val="es-AR" w:eastAsia="es-AR"/>
        </w:rPr>
      </w:pPr>
    </w:p>
    <w:p w:rsidR="00E448B5" w:rsidRPr="00E448B5" w:rsidRDefault="00E448B5" w:rsidP="00E448B5">
      <w:pPr>
        <w:pStyle w:val="NormalWeb"/>
        <w:shd w:val="clear" w:color="auto" w:fill="FDE9D9" w:themeFill="accent6" w:themeFillTint="33"/>
        <w:spacing w:before="0" w:beforeAutospacing="0" w:after="0" w:afterAutospacing="0"/>
        <w:jc w:val="both"/>
        <w:rPr>
          <w:rFonts w:ascii="Arial" w:hAnsi="Arial" w:cs="Arial"/>
          <w:b/>
          <w:bCs/>
          <w:caps/>
          <w:color w:val="002F5D"/>
        </w:rPr>
      </w:pPr>
      <w:r w:rsidRPr="00E448B5">
        <w:rPr>
          <w:rFonts w:ascii="Arial" w:hAnsi="Arial" w:cs="Arial"/>
          <w:b/>
          <w:bCs/>
          <w:caps/>
          <w:color w:val="002F5D"/>
        </w:rPr>
        <w:t>JURISPRUDENCIA</w:t>
      </w:r>
    </w:p>
    <w:p w:rsidR="00E448B5" w:rsidRPr="00E448B5" w:rsidRDefault="00E448B5" w:rsidP="00E448B5">
      <w:pPr>
        <w:pStyle w:val="NormalWeb"/>
        <w:shd w:val="clear" w:color="auto" w:fill="FDE9D9" w:themeFill="accent6" w:themeFillTint="33"/>
        <w:spacing w:before="0" w:beforeAutospacing="0" w:after="0" w:afterAutospacing="0"/>
        <w:jc w:val="both"/>
        <w:rPr>
          <w:rFonts w:ascii="Arial" w:hAnsi="Arial" w:cs="Arial"/>
          <w:b/>
          <w:bCs/>
          <w:caps/>
          <w:color w:val="002F5D"/>
          <w:sz w:val="22"/>
          <w:szCs w:val="22"/>
        </w:rPr>
      </w:pPr>
    </w:p>
    <w:p w:rsidR="00E448B5" w:rsidRPr="00E448B5" w:rsidRDefault="00E448B5" w:rsidP="00E448B5">
      <w:pPr>
        <w:pStyle w:val="NormalWeb"/>
        <w:shd w:val="clear" w:color="auto" w:fill="FDE9D9" w:themeFill="accent6" w:themeFillTint="33"/>
        <w:spacing w:before="0" w:beforeAutospacing="0" w:after="0" w:afterAutospacing="0"/>
        <w:jc w:val="both"/>
        <w:rPr>
          <w:rFonts w:ascii="Arial" w:hAnsi="Arial" w:cs="Arial"/>
          <w:b/>
          <w:bCs/>
          <w:caps/>
          <w:color w:val="002F5D"/>
          <w:sz w:val="22"/>
          <w:szCs w:val="22"/>
        </w:rPr>
      </w:pPr>
      <w:r w:rsidRPr="00E448B5">
        <w:rPr>
          <w:rFonts w:ascii="Arial" w:hAnsi="Arial" w:cs="Arial"/>
          <w:b/>
          <w:bCs/>
          <w:caps/>
          <w:color w:val="002F5D"/>
          <w:sz w:val="22"/>
          <w:szCs w:val="22"/>
        </w:rPr>
        <w:t>MONOTRIBUTO. EXCLUSIÓN. GASTOS SUPERIORES AL 40% DE LOS INGRESOS BRUTOS. SE REVOCA CRITERIO. GASTOS COMUNES DE UN ESTUDIO JURÍDICO</w:t>
      </w:r>
    </w:p>
    <w:p w:rsidR="00E448B5" w:rsidRPr="00E448B5" w:rsidRDefault="00E448B5" w:rsidP="00637A77">
      <w:pPr>
        <w:pStyle w:val="NormalWeb"/>
        <w:spacing w:before="0" w:beforeAutospacing="0" w:after="0" w:afterAutospacing="0" w:line="360" w:lineRule="auto"/>
        <w:jc w:val="both"/>
        <w:rPr>
          <w:rStyle w:val="negritanovedades"/>
          <w:b w:val="0"/>
          <w:lang w:val="es-AR" w:eastAsia="es-AR"/>
        </w:rPr>
      </w:pPr>
    </w:p>
    <w:p w:rsidR="00E448B5" w:rsidRDefault="00E448B5" w:rsidP="00E448B5">
      <w:pPr>
        <w:pStyle w:val="NormalWeb"/>
        <w:spacing w:before="0" w:beforeAutospacing="0" w:after="0" w:afterAutospacing="0" w:line="360" w:lineRule="auto"/>
        <w:jc w:val="both"/>
        <w:rPr>
          <w:rStyle w:val="negritanovedades"/>
          <w:b w:val="0"/>
          <w:lang w:val="es-AR" w:eastAsia="es-AR"/>
        </w:rPr>
      </w:pPr>
      <w:r w:rsidRPr="00E448B5">
        <w:rPr>
          <w:rStyle w:val="negritanovedades"/>
          <w:b w:val="0"/>
          <w:lang w:val="es-AR" w:eastAsia="es-AR"/>
        </w:rPr>
        <w:lastRenderedPageBreak/>
        <w:t>El actor pretendía la revocación de la resolución por la cual se lo excluyó de pleno derecho del Régimen Simplificado para Pequeños Contribuyentes por haberse constatado que durante el período 5/2012 a 4/2013 había efectuado gastos superiores al 40% de los ingresos brutos máximos establecidos en el artículo 8 para la categoría I, conforme a lo dispuesto en el artículo 20, inciso k), de la ley 26565. El accionante ejerce la profesión de abogado en un estudio jurídico de la Ciudad Autónoma de Buenos Aires conjuntamente con otros colegas con quienes, según alega, comparte el gasto de sueldo y cargas sociales de la secretaria que presta servicios para los cuatro abogados, con los cuales no podía constituir una sociedad por las restricciones dispuestas en la ley 23187.</w:t>
      </w:r>
    </w:p>
    <w:p w:rsidR="00E448B5" w:rsidRDefault="00E448B5" w:rsidP="00E448B5">
      <w:pPr>
        <w:pStyle w:val="NormalWeb"/>
        <w:spacing w:before="0" w:beforeAutospacing="0" w:after="0" w:afterAutospacing="0" w:line="360" w:lineRule="auto"/>
        <w:jc w:val="both"/>
        <w:rPr>
          <w:rStyle w:val="negritanovedades"/>
          <w:b w:val="0"/>
          <w:lang w:val="es-AR" w:eastAsia="es-AR"/>
        </w:rPr>
      </w:pPr>
      <w:r w:rsidRPr="00E448B5">
        <w:rPr>
          <w:rStyle w:val="negritanovedades"/>
          <w:b w:val="0"/>
          <w:lang w:val="es-AR" w:eastAsia="es-AR"/>
        </w:rPr>
        <w:t xml:space="preserve">La Alzada revocó lo decidido en primera instancia y se dejó sin efecto la exclusión al considerar que la valoración armónica y conjunta de la prueba otorga veracidad al argumento del actor para desvirtuar el criterio fiscal, esto es que los gastos comunes que efectivamente se efectuaron en el período en cuestión (entre los que se encontraba el costo laboral de la secretaria que determinó la exclusión del actor) eran asumidos por el actor y sus colegas. </w:t>
      </w:r>
    </w:p>
    <w:p w:rsidR="00E448B5" w:rsidRDefault="00E448B5" w:rsidP="00E448B5">
      <w:pPr>
        <w:pStyle w:val="NormalWeb"/>
        <w:spacing w:before="0" w:beforeAutospacing="0" w:after="0" w:afterAutospacing="0" w:line="360" w:lineRule="auto"/>
        <w:jc w:val="both"/>
        <w:rPr>
          <w:rStyle w:val="negritanovedades"/>
          <w:b w:val="0"/>
          <w:sz w:val="16"/>
          <w:szCs w:val="16"/>
          <w:lang w:val="es-AR" w:eastAsia="es-AR"/>
        </w:rPr>
      </w:pPr>
      <w:r w:rsidRPr="00E448B5">
        <w:rPr>
          <w:rStyle w:val="negritanovedades"/>
          <w:b w:val="0"/>
          <w:sz w:val="16"/>
          <w:szCs w:val="16"/>
          <w:lang w:val="es-AR" w:eastAsia="es-AR"/>
        </w:rPr>
        <w:t>ALITISZ, NICOLÁS JORGE C/EN-AFIP S/DGI - CÁM. NAC. CONT. ADM. FED. - SALA IV - 04/02/2020</w:t>
      </w:r>
    </w:p>
    <w:p w:rsidR="00E448B5" w:rsidRPr="00E448B5" w:rsidRDefault="00E448B5" w:rsidP="00E448B5">
      <w:pPr>
        <w:pStyle w:val="NormalWeb"/>
        <w:spacing w:before="0" w:beforeAutospacing="0" w:after="0" w:afterAutospacing="0" w:line="360" w:lineRule="auto"/>
        <w:jc w:val="both"/>
        <w:rPr>
          <w:rStyle w:val="negritanovedades"/>
          <w:b w:val="0"/>
          <w:sz w:val="16"/>
          <w:szCs w:val="16"/>
          <w:lang w:val="es-AR" w:eastAsia="es-AR"/>
        </w:rPr>
      </w:pPr>
    </w:p>
    <w:p w:rsidR="00E448B5" w:rsidRPr="00E448B5" w:rsidRDefault="00E448B5" w:rsidP="00E448B5">
      <w:pPr>
        <w:pStyle w:val="NormalWeb"/>
        <w:spacing w:before="0" w:beforeAutospacing="0" w:after="0" w:afterAutospacing="0" w:line="360" w:lineRule="auto"/>
        <w:jc w:val="both"/>
        <w:rPr>
          <w:rFonts w:ascii="Arial" w:hAnsi="Arial" w:cs="Arial"/>
          <w:b/>
          <w:bCs/>
          <w:caps/>
          <w:color w:val="002F5D"/>
          <w:sz w:val="21"/>
          <w:szCs w:val="21"/>
        </w:rPr>
      </w:pPr>
      <w:r w:rsidRPr="00E448B5">
        <w:rPr>
          <w:rFonts w:ascii="Arial" w:hAnsi="Arial" w:cs="Arial"/>
          <w:b/>
          <w:bCs/>
          <w:caps/>
          <w:color w:val="002F5D"/>
          <w:sz w:val="21"/>
          <w:szCs w:val="21"/>
        </w:rPr>
        <w:t>AJUSTE POR INFLACIÓN. DIFERIMIENTO EN TERCIOS. SU INAPLICABILIDAD</w:t>
      </w:r>
    </w:p>
    <w:p w:rsidR="00E448B5" w:rsidRDefault="00E448B5" w:rsidP="00E448B5">
      <w:pPr>
        <w:pStyle w:val="NormalWeb"/>
        <w:spacing w:before="0" w:beforeAutospacing="0" w:after="0" w:afterAutospacing="0" w:line="360" w:lineRule="auto"/>
        <w:jc w:val="both"/>
        <w:rPr>
          <w:rStyle w:val="negritanovedades"/>
          <w:b w:val="0"/>
          <w:lang w:val="es-AR" w:eastAsia="es-AR"/>
        </w:rPr>
      </w:pPr>
      <w:r w:rsidRPr="00E448B5">
        <w:rPr>
          <w:rStyle w:val="negritanovedades"/>
          <w:b w:val="0"/>
          <w:lang w:val="es-AR" w:eastAsia="es-AR"/>
        </w:rPr>
        <w:t xml:space="preserve">Recientemente, la Cámara Federal de Córdoba permite al contribuyente presentar la declaración jurada del impuesto a las ganancias por el ejercicio cerrado el 31/3/2019 aplicando el ajuste por inflación sin considerar el diferimiento en tercios dispuesto por el art. 118.2 (to.1997; actual art. 194 del </w:t>
      </w:r>
      <w:proofErr w:type="spellStart"/>
      <w:r w:rsidRPr="00E448B5">
        <w:rPr>
          <w:rStyle w:val="negritanovedades"/>
          <w:b w:val="0"/>
          <w:lang w:val="es-AR" w:eastAsia="es-AR"/>
        </w:rPr>
        <w:t>t.o</w:t>
      </w:r>
      <w:proofErr w:type="spellEnd"/>
      <w:r w:rsidRPr="00E448B5">
        <w:rPr>
          <w:rStyle w:val="negritanovedades"/>
          <w:b w:val="0"/>
          <w:lang w:val="es-AR" w:eastAsia="es-AR"/>
        </w:rPr>
        <w:t xml:space="preserve"> 2019, sin la modificación de la ley 27541). </w:t>
      </w:r>
    </w:p>
    <w:p w:rsidR="00E448B5" w:rsidRPr="00E448B5" w:rsidRDefault="00E448B5" w:rsidP="00E448B5">
      <w:pPr>
        <w:pStyle w:val="NormalWeb"/>
        <w:spacing w:before="0" w:beforeAutospacing="0" w:after="0" w:afterAutospacing="0" w:line="360" w:lineRule="auto"/>
        <w:jc w:val="both"/>
        <w:rPr>
          <w:rStyle w:val="negritanovedades"/>
          <w:b w:val="0"/>
          <w:lang w:val="es-AR" w:eastAsia="es-AR"/>
        </w:rPr>
      </w:pPr>
      <w:r w:rsidRPr="00E448B5">
        <w:rPr>
          <w:rStyle w:val="negritanovedades"/>
          <w:b w:val="0"/>
          <w:lang w:val="es-AR" w:eastAsia="es-AR"/>
        </w:rPr>
        <w:t>La medida cautelar interpuesta obliga a la AFIP a abstenerse de iniciar y/o proseguir cualquier reclamo administrativo o judicial por la diferencia de impuesto resultante.</w:t>
      </w:r>
      <w:r w:rsidRPr="00E448B5">
        <w:rPr>
          <w:rStyle w:val="negritanovedades"/>
          <w:b w:val="0"/>
          <w:lang w:val="es-AR" w:eastAsia="es-AR"/>
        </w:rPr>
        <w:br/>
      </w:r>
      <w:r>
        <w:rPr>
          <w:rFonts w:ascii="Arial" w:eastAsia="Times New Roman" w:hAnsi="Arial" w:cs="Arial"/>
          <w:b/>
          <w:bCs/>
          <w:color w:val="666666"/>
          <w:sz w:val="20"/>
          <w:szCs w:val="20"/>
        </w:rPr>
        <w:t xml:space="preserve">Causa "Bodegas Esmeralda SA" - </w:t>
      </w:r>
      <w:proofErr w:type="spellStart"/>
      <w:r>
        <w:rPr>
          <w:rFonts w:ascii="Arial" w:eastAsia="Times New Roman" w:hAnsi="Arial" w:cs="Arial"/>
          <w:b/>
          <w:bCs/>
          <w:color w:val="666666"/>
          <w:sz w:val="20"/>
          <w:szCs w:val="20"/>
        </w:rPr>
        <w:t>Cám</w:t>
      </w:r>
      <w:proofErr w:type="spellEnd"/>
      <w:r>
        <w:rPr>
          <w:rFonts w:ascii="Arial" w:eastAsia="Times New Roman" w:hAnsi="Arial" w:cs="Arial"/>
          <w:b/>
          <w:bCs/>
          <w:color w:val="666666"/>
          <w:sz w:val="20"/>
          <w:szCs w:val="20"/>
        </w:rPr>
        <w:t xml:space="preserve">. Fed. </w:t>
      </w:r>
      <w:proofErr w:type="gramStart"/>
      <w:r>
        <w:rPr>
          <w:rFonts w:ascii="Arial" w:eastAsia="Times New Roman" w:hAnsi="Arial" w:cs="Arial"/>
          <w:b/>
          <w:bCs/>
          <w:color w:val="666666"/>
          <w:sz w:val="20"/>
          <w:szCs w:val="20"/>
        </w:rPr>
        <w:t>de</w:t>
      </w:r>
      <w:proofErr w:type="gramEnd"/>
      <w:r>
        <w:rPr>
          <w:rFonts w:ascii="Arial" w:eastAsia="Times New Roman" w:hAnsi="Arial" w:cs="Arial"/>
          <w:b/>
          <w:bCs/>
          <w:color w:val="666666"/>
          <w:sz w:val="20"/>
          <w:szCs w:val="20"/>
        </w:rPr>
        <w:t xml:space="preserve"> Córdoba - Sala B - 14/2/2020</w:t>
      </w:r>
    </w:p>
    <w:p w:rsidR="004C6C9F" w:rsidRPr="00E448B5" w:rsidRDefault="004C6C9F" w:rsidP="004C6C9F">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lang w:val="es-AR"/>
        </w:rPr>
      </w:pPr>
    </w:p>
    <w:p w:rsidR="00637A77" w:rsidRDefault="00637A77" w:rsidP="009A4981">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PROVINCIALES</w:t>
      </w:r>
    </w:p>
    <w:p w:rsidR="00637A77" w:rsidRDefault="00637A77" w:rsidP="009A4981">
      <w:pPr>
        <w:pStyle w:val="NormalWeb"/>
        <w:spacing w:before="0" w:beforeAutospacing="0" w:after="0" w:afterAutospacing="0"/>
        <w:jc w:val="both"/>
        <w:rPr>
          <w:rFonts w:ascii="Arial" w:hAnsi="Arial" w:cs="Arial"/>
          <w:b/>
          <w:bCs/>
          <w:caps/>
          <w:color w:val="002F5D"/>
        </w:rPr>
      </w:pPr>
    </w:p>
    <w:p w:rsidR="00E448B5" w:rsidRPr="00E448B5" w:rsidRDefault="00E448B5" w:rsidP="00E448B5">
      <w:pPr>
        <w:pStyle w:val="NormalWeb"/>
        <w:spacing w:before="0" w:beforeAutospacing="0" w:after="0" w:afterAutospacing="0"/>
        <w:jc w:val="both"/>
        <w:rPr>
          <w:rFonts w:ascii="Arial" w:hAnsi="Arial" w:cs="Arial"/>
          <w:b/>
          <w:bCs/>
          <w:caps/>
          <w:color w:val="002F5D"/>
          <w:sz w:val="21"/>
          <w:szCs w:val="21"/>
        </w:rPr>
      </w:pPr>
      <w:r w:rsidRPr="00E448B5">
        <w:rPr>
          <w:rFonts w:ascii="Arial" w:hAnsi="Arial" w:cs="Arial"/>
          <w:b/>
          <w:bCs/>
          <w:caps/>
          <w:color w:val="002F5D"/>
          <w:sz w:val="21"/>
          <w:szCs w:val="21"/>
        </w:rPr>
        <w:t xml:space="preserve">Santa Fe. </w:t>
      </w:r>
    </w:p>
    <w:p w:rsidR="00E448B5" w:rsidRDefault="00E448B5" w:rsidP="00E448B5">
      <w:pPr>
        <w:pStyle w:val="NormalWeb"/>
        <w:spacing w:before="0" w:beforeAutospacing="0" w:after="0" w:afterAutospacing="0"/>
        <w:jc w:val="both"/>
        <w:rPr>
          <w:rFonts w:ascii="Arial" w:hAnsi="Arial" w:cs="Arial"/>
          <w:b/>
          <w:bCs/>
          <w:caps/>
          <w:color w:val="002F5D"/>
          <w:sz w:val="21"/>
          <w:szCs w:val="21"/>
        </w:rPr>
      </w:pPr>
      <w:r w:rsidRPr="00E448B5">
        <w:rPr>
          <w:rFonts w:ascii="Arial" w:hAnsi="Arial" w:cs="Arial"/>
          <w:b/>
          <w:bCs/>
          <w:caps/>
          <w:color w:val="002F5D"/>
          <w:sz w:val="21"/>
          <w:szCs w:val="21"/>
        </w:rPr>
        <w:t xml:space="preserve">Aclaración sobre las actividades comprendidas en la estabilidad fiscal para el ejercicio fiscal 2020 </w:t>
      </w:r>
      <w:r>
        <w:rPr>
          <w:rFonts w:ascii="Arial" w:hAnsi="Arial" w:cs="Arial"/>
          <w:b/>
          <w:bCs/>
          <w:caps/>
          <w:color w:val="002F5D"/>
          <w:sz w:val="21"/>
          <w:szCs w:val="21"/>
        </w:rPr>
        <w:t xml:space="preserve">- </w:t>
      </w:r>
      <w:r w:rsidRPr="00E448B5">
        <w:rPr>
          <w:rFonts w:ascii="Arial" w:hAnsi="Arial" w:cs="Arial"/>
          <w:b/>
          <w:bCs/>
          <w:caps/>
          <w:color w:val="002F5D"/>
          <w:sz w:val="21"/>
          <w:szCs w:val="21"/>
        </w:rPr>
        <w:t>RESOLUCIÓN GENERAL (</w:t>
      </w:r>
      <w:proofErr w:type="spellStart"/>
      <w:r w:rsidRPr="00E448B5">
        <w:rPr>
          <w:rFonts w:ascii="Arial" w:hAnsi="Arial" w:cs="Arial"/>
          <w:b/>
          <w:bCs/>
          <w:caps/>
          <w:color w:val="002F5D"/>
          <w:sz w:val="21"/>
          <w:szCs w:val="21"/>
        </w:rPr>
        <w:t>Adm</w:t>
      </w:r>
      <w:proofErr w:type="spellEnd"/>
      <w:r w:rsidRPr="00E448B5">
        <w:rPr>
          <w:rFonts w:ascii="Arial" w:hAnsi="Arial" w:cs="Arial"/>
          <w:b/>
          <w:bCs/>
          <w:caps/>
          <w:color w:val="002F5D"/>
          <w:sz w:val="21"/>
          <w:szCs w:val="21"/>
        </w:rPr>
        <w:t>. Prov. Impuestos Santa Fe) 14/2020</w:t>
      </w:r>
    </w:p>
    <w:p w:rsidR="00E448B5" w:rsidRPr="00E448B5" w:rsidRDefault="00E448B5" w:rsidP="00E448B5">
      <w:pPr>
        <w:pStyle w:val="NormalWeb"/>
        <w:spacing w:before="0" w:beforeAutospacing="0" w:after="0" w:afterAutospacing="0"/>
        <w:jc w:val="both"/>
        <w:rPr>
          <w:rFonts w:ascii="Arial" w:hAnsi="Arial" w:cs="Arial"/>
          <w:b/>
          <w:bCs/>
          <w:caps/>
          <w:color w:val="002F5D"/>
          <w:sz w:val="21"/>
          <w:szCs w:val="21"/>
        </w:rPr>
      </w:pPr>
    </w:p>
    <w:p w:rsidR="00EA4478" w:rsidRDefault="00E448B5" w:rsidP="00E448B5">
      <w:pPr>
        <w:pStyle w:val="NormalWeb"/>
        <w:spacing w:before="0" w:beforeAutospacing="0" w:after="0" w:afterAutospacing="0" w:line="360" w:lineRule="auto"/>
        <w:jc w:val="both"/>
        <w:rPr>
          <w:rStyle w:val="negritanovedades"/>
          <w:b w:val="0"/>
          <w:lang w:val="es-AR" w:eastAsia="es-AR"/>
        </w:rPr>
      </w:pPr>
      <w:r w:rsidRPr="00E448B5">
        <w:rPr>
          <w:rStyle w:val="negritanovedades"/>
          <w:b w:val="0"/>
          <w:lang w:val="es-AR" w:eastAsia="es-AR"/>
        </w:rPr>
        <w:lastRenderedPageBreak/>
        <w:t xml:space="preserve">Se aclara que, para el ejercicio fiscal 2020, el beneficio de estabilidad fiscal -art. 25, L. (Santa Fe) 13750- será aplicable a aquellos contribuyentes que desarrollen actividades industriales en general, a las empresas de transformación de cereales y oleaginosas caracterizadas como pymes santafesinas y a las actividades industriales realizadas bajo la modalidad de </w:t>
      </w:r>
      <w:proofErr w:type="spellStart"/>
      <w:r w:rsidRPr="00E448B5">
        <w:rPr>
          <w:rStyle w:val="negritanovedades"/>
          <w:b w:val="0"/>
          <w:lang w:val="es-AR" w:eastAsia="es-AR"/>
        </w:rPr>
        <w:t>fasón</w:t>
      </w:r>
      <w:proofErr w:type="spellEnd"/>
      <w:r w:rsidRPr="00E448B5">
        <w:rPr>
          <w:rStyle w:val="negritanovedades"/>
          <w:b w:val="0"/>
          <w:lang w:val="es-AR" w:eastAsia="es-AR"/>
        </w:rPr>
        <w:t xml:space="preserve"> por los sujetos denominados </w:t>
      </w:r>
      <w:proofErr w:type="spellStart"/>
      <w:r w:rsidRPr="00E448B5">
        <w:rPr>
          <w:rStyle w:val="negritanovedades"/>
          <w:b w:val="0"/>
          <w:lang w:val="es-AR" w:eastAsia="es-AR"/>
        </w:rPr>
        <w:t>fasoniers</w:t>
      </w:r>
      <w:proofErr w:type="spellEnd"/>
      <w:r w:rsidRPr="00E448B5">
        <w:rPr>
          <w:rStyle w:val="negritanovedades"/>
          <w:b w:val="0"/>
          <w:lang w:val="es-AR" w:eastAsia="es-AR"/>
        </w:rPr>
        <w:t xml:space="preserve"> o confeccionistas</w:t>
      </w:r>
      <w:r>
        <w:rPr>
          <w:rStyle w:val="negritanovedades"/>
          <w:b w:val="0"/>
          <w:lang w:val="es-AR" w:eastAsia="es-AR"/>
        </w:rPr>
        <w:t>.</w:t>
      </w:r>
    </w:p>
    <w:p w:rsidR="00E448B5" w:rsidRDefault="00E448B5" w:rsidP="00E448B5">
      <w:pPr>
        <w:pStyle w:val="NormalWeb"/>
        <w:spacing w:before="0" w:beforeAutospacing="0" w:after="0" w:afterAutospacing="0" w:line="360" w:lineRule="auto"/>
        <w:jc w:val="both"/>
        <w:rPr>
          <w:rStyle w:val="negritanovedades"/>
          <w:b w:val="0"/>
          <w:lang w:val="es-AR" w:eastAsia="es-AR"/>
        </w:rPr>
      </w:pPr>
    </w:p>
    <w:p w:rsidR="00E448B5" w:rsidRDefault="00E448B5" w:rsidP="00E448B5">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Procedimiento para la regularización de deudas del impuesto a las embarcaciones deportivas o de recreación - </w:t>
      </w:r>
      <w:r w:rsidRPr="00E448B5">
        <w:rPr>
          <w:rFonts w:ascii="Arial" w:hAnsi="Arial" w:cs="Arial"/>
          <w:b/>
          <w:bCs/>
          <w:caps/>
          <w:color w:val="002F5D"/>
          <w:sz w:val="21"/>
          <w:szCs w:val="21"/>
        </w:rPr>
        <w:t>RESOLUCIÓN GENERAL (</w:t>
      </w:r>
      <w:proofErr w:type="spellStart"/>
      <w:r w:rsidRPr="00E448B5">
        <w:rPr>
          <w:rFonts w:ascii="Arial" w:hAnsi="Arial" w:cs="Arial"/>
          <w:b/>
          <w:bCs/>
          <w:caps/>
          <w:color w:val="002F5D"/>
          <w:sz w:val="21"/>
          <w:szCs w:val="21"/>
        </w:rPr>
        <w:t>Adm</w:t>
      </w:r>
      <w:proofErr w:type="spellEnd"/>
      <w:r w:rsidRPr="00E448B5">
        <w:rPr>
          <w:rFonts w:ascii="Arial" w:hAnsi="Arial" w:cs="Arial"/>
          <w:b/>
          <w:bCs/>
          <w:caps/>
          <w:color w:val="002F5D"/>
          <w:sz w:val="21"/>
          <w:szCs w:val="21"/>
        </w:rPr>
        <w:t>. Prov. Impuestos Santa Fe) 16/2020</w:t>
      </w:r>
    </w:p>
    <w:p w:rsidR="00E448B5" w:rsidRDefault="00E448B5" w:rsidP="00E448B5">
      <w:pPr>
        <w:pStyle w:val="NormalWeb"/>
        <w:spacing w:before="0" w:beforeAutospacing="0" w:after="0" w:afterAutospacing="0" w:line="360" w:lineRule="auto"/>
        <w:jc w:val="both"/>
        <w:rPr>
          <w:rStyle w:val="negritanovedades"/>
          <w:b w:val="0"/>
          <w:bCs w:val="0"/>
          <w:lang w:eastAsia="es-AR"/>
        </w:rPr>
      </w:pPr>
    </w:p>
    <w:p w:rsidR="00E448B5" w:rsidRDefault="00E448B5" w:rsidP="00E448B5">
      <w:pPr>
        <w:pStyle w:val="NormalWeb"/>
        <w:spacing w:before="0" w:beforeAutospacing="0" w:after="0" w:afterAutospacing="0" w:line="360" w:lineRule="auto"/>
        <w:jc w:val="both"/>
        <w:rPr>
          <w:rStyle w:val="negritanovedades"/>
          <w:b w:val="0"/>
          <w:lang w:val="es-AR" w:eastAsia="es-AR"/>
        </w:rPr>
      </w:pPr>
      <w:r w:rsidRPr="00E448B5">
        <w:rPr>
          <w:rStyle w:val="negritanovedades"/>
          <w:b w:val="0"/>
          <w:lang w:val="es-AR" w:eastAsia="es-AR"/>
        </w:rPr>
        <w:t>Se aprueba el procedimiento para la cancelación de deudas del impuesto sobre las embarcaciones deportivas o de recreación, mediante el régimen de regularización tributaria implementado recientemente -L. (Santa Fe) 13976-.</w:t>
      </w:r>
    </w:p>
    <w:p w:rsidR="00E448B5" w:rsidRDefault="00E448B5" w:rsidP="00E448B5">
      <w:pPr>
        <w:pStyle w:val="NormalWeb"/>
        <w:spacing w:before="0" w:beforeAutospacing="0" w:after="0" w:afterAutospacing="0" w:line="360" w:lineRule="auto"/>
        <w:jc w:val="both"/>
        <w:rPr>
          <w:rStyle w:val="negritanovedades"/>
          <w:b w:val="0"/>
          <w:lang w:val="es-AR" w:eastAsia="es-AR"/>
        </w:rPr>
      </w:pPr>
      <w:r w:rsidRPr="00E448B5">
        <w:rPr>
          <w:rStyle w:val="negritanovedades"/>
          <w:b w:val="0"/>
          <w:lang w:val="es-AR" w:eastAsia="es-AR"/>
        </w:rPr>
        <w:t>Al respecto, se establece que el acogimiento al mismo se perfeccionará de la siguiente forma:</w:t>
      </w:r>
      <w:r w:rsidRPr="00E448B5">
        <w:rPr>
          <w:rStyle w:val="negritanovedades"/>
          <w:b w:val="0"/>
          <w:lang w:val="es-AR" w:eastAsia="es-AR"/>
        </w:rPr>
        <w:br/>
        <w:t>* En caso de optarse por pago al contado, con el ingreso de la totalidad de la deuda que se regulariza.</w:t>
      </w:r>
      <w:r w:rsidRPr="00E448B5">
        <w:rPr>
          <w:rStyle w:val="negritanovedades"/>
          <w:b w:val="0"/>
          <w:lang w:val="es-AR" w:eastAsia="es-AR"/>
        </w:rPr>
        <w:br/>
        <w:t>* En caso de optar por un convenio de pago, con el ingreso del anticipo o saldo de mayor antigüedad adeudado.</w:t>
      </w:r>
    </w:p>
    <w:p w:rsidR="00E448B5" w:rsidRDefault="00E448B5" w:rsidP="00E448B5">
      <w:pPr>
        <w:pStyle w:val="NormalWeb"/>
        <w:spacing w:before="0" w:beforeAutospacing="0" w:after="0" w:afterAutospacing="0" w:line="360" w:lineRule="auto"/>
        <w:jc w:val="both"/>
        <w:rPr>
          <w:rStyle w:val="negritanovedades"/>
          <w:b w:val="0"/>
          <w:lang w:val="es-AR" w:eastAsia="es-AR"/>
        </w:rPr>
      </w:pPr>
      <w:r>
        <w:rPr>
          <w:rStyle w:val="negritanovedades"/>
          <w:b w:val="0"/>
          <w:lang w:val="es-AR" w:eastAsia="es-AR"/>
        </w:rPr>
        <w:t>Las</w:t>
      </w:r>
      <w:r w:rsidRPr="00E448B5">
        <w:rPr>
          <w:rStyle w:val="negritanovedades"/>
          <w:b w:val="0"/>
          <w:lang w:val="es-AR" w:eastAsia="es-AR"/>
        </w:rPr>
        <w:t xml:space="preserve"> presentes disposiciones serán de aplicación a partir del 2/3/2020</w:t>
      </w:r>
      <w:r>
        <w:rPr>
          <w:rStyle w:val="negritanovedades"/>
          <w:b w:val="0"/>
          <w:lang w:val="es-AR" w:eastAsia="es-AR"/>
        </w:rPr>
        <w:t>.</w:t>
      </w:r>
    </w:p>
    <w:p w:rsidR="00E448B5" w:rsidRDefault="00E448B5" w:rsidP="00E448B5">
      <w:pPr>
        <w:pStyle w:val="NormalWeb"/>
        <w:spacing w:before="0" w:beforeAutospacing="0" w:after="0" w:afterAutospacing="0" w:line="360" w:lineRule="auto"/>
        <w:jc w:val="both"/>
        <w:rPr>
          <w:rStyle w:val="negritanovedades"/>
          <w:b w:val="0"/>
          <w:lang w:val="es-AR" w:eastAsia="es-AR"/>
        </w:rPr>
      </w:pPr>
    </w:p>
    <w:p w:rsidR="00E448B5" w:rsidRDefault="00E448B5" w:rsidP="00E448B5">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Solicitud de certificado de subsistencia para asociaciones civiles y fundaciones - </w:t>
      </w:r>
      <w:r w:rsidRPr="00E448B5">
        <w:rPr>
          <w:rFonts w:ascii="Arial" w:hAnsi="Arial" w:cs="Arial"/>
          <w:b/>
          <w:bCs/>
          <w:caps/>
          <w:color w:val="002F5D"/>
          <w:sz w:val="21"/>
          <w:szCs w:val="21"/>
        </w:rPr>
        <w:t>RESOLUCIÓN GENERAL (</w:t>
      </w:r>
      <w:proofErr w:type="spellStart"/>
      <w:r w:rsidRPr="00E448B5">
        <w:rPr>
          <w:rFonts w:ascii="Arial" w:hAnsi="Arial" w:cs="Arial"/>
          <w:b/>
          <w:bCs/>
          <w:caps/>
          <w:color w:val="002F5D"/>
          <w:sz w:val="21"/>
          <w:szCs w:val="21"/>
        </w:rPr>
        <w:t>Insp</w:t>
      </w:r>
      <w:proofErr w:type="spellEnd"/>
      <w:r w:rsidRPr="00E448B5">
        <w:rPr>
          <w:rFonts w:ascii="Arial" w:hAnsi="Arial" w:cs="Arial"/>
          <w:b/>
          <w:bCs/>
          <w:caps/>
          <w:color w:val="002F5D"/>
          <w:sz w:val="21"/>
          <w:szCs w:val="21"/>
        </w:rPr>
        <w:t>. Gral. Personas Jurídicas Santa Fe) 1/2020</w:t>
      </w:r>
    </w:p>
    <w:p w:rsidR="00E448B5" w:rsidRPr="00E448B5" w:rsidRDefault="00E448B5" w:rsidP="00E448B5">
      <w:pPr>
        <w:pStyle w:val="NormalWeb"/>
        <w:spacing w:before="0" w:beforeAutospacing="0" w:after="0" w:afterAutospacing="0" w:line="360" w:lineRule="auto"/>
        <w:jc w:val="both"/>
        <w:rPr>
          <w:rStyle w:val="negritanovedades"/>
          <w:b w:val="0"/>
          <w:lang w:val="es-AR" w:eastAsia="es-AR"/>
        </w:rPr>
      </w:pPr>
    </w:p>
    <w:p w:rsidR="00E448B5" w:rsidRPr="00E448B5" w:rsidRDefault="00E448B5" w:rsidP="00E448B5">
      <w:pPr>
        <w:pStyle w:val="NormalWeb"/>
        <w:spacing w:before="0" w:beforeAutospacing="0" w:after="0" w:afterAutospacing="0" w:line="360" w:lineRule="auto"/>
        <w:jc w:val="both"/>
        <w:rPr>
          <w:rStyle w:val="negritanovedades"/>
          <w:b w:val="0"/>
          <w:lang w:val="es-AR" w:eastAsia="es-AR"/>
        </w:rPr>
      </w:pPr>
      <w:r w:rsidRPr="00E448B5">
        <w:rPr>
          <w:rStyle w:val="negritanovedades"/>
          <w:b w:val="0"/>
          <w:lang w:val="es-AR" w:eastAsia="es-AR"/>
        </w:rPr>
        <w:t>La Inspección General de Personas Jurídicas estableció un modelo de certificado de subsistencia que podrán utilizar todas las asociaciones civiles y fundaciones allí registradas</w:t>
      </w:r>
    </w:p>
    <w:p w:rsidR="0034165A" w:rsidRDefault="0034165A" w:rsidP="0034165A">
      <w:pPr>
        <w:pStyle w:val="NormalWeb"/>
        <w:spacing w:before="0" w:beforeAutospacing="0" w:after="0" w:afterAutospacing="0"/>
        <w:jc w:val="both"/>
        <w:rPr>
          <w:rFonts w:ascii="Arial" w:hAnsi="Arial" w:cs="Arial"/>
          <w:b/>
          <w:bCs/>
          <w:caps/>
          <w:color w:val="002F5D"/>
          <w:sz w:val="21"/>
          <w:szCs w:val="21"/>
        </w:rPr>
      </w:pPr>
    </w:p>
    <w:p w:rsidR="004C6C9F" w:rsidRDefault="004C6C9F" w:rsidP="004C6C9F">
      <w:pPr>
        <w:pStyle w:val="NormalWeb"/>
        <w:spacing w:before="0" w:beforeAutospacing="0" w:after="0" w:afterAutospacing="0" w:line="360" w:lineRule="auto"/>
        <w:jc w:val="both"/>
        <w:rPr>
          <w:rStyle w:val="negritanovedades"/>
          <w:b w:val="0"/>
          <w:sz w:val="16"/>
          <w:szCs w:val="16"/>
          <w:lang w:val="es-AR" w:eastAsia="es-AR"/>
        </w:rPr>
      </w:pPr>
    </w:p>
    <w:p w:rsidR="00E448B5" w:rsidRPr="00302B24" w:rsidRDefault="00E448B5" w:rsidP="004C6C9F">
      <w:pPr>
        <w:pStyle w:val="NormalWeb"/>
        <w:spacing w:before="0" w:beforeAutospacing="0" w:after="0" w:afterAutospacing="0"/>
        <w:jc w:val="center"/>
        <w:rPr>
          <w:rFonts w:ascii="Arial" w:hAnsi="Arial" w:cs="Arial"/>
          <w:b/>
          <w:bCs/>
          <w:caps/>
          <w:color w:val="7E4F6F"/>
          <w:sz w:val="28"/>
          <w:szCs w:val="28"/>
        </w:rPr>
      </w:pPr>
      <w:r w:rsidRPr="00302B24">
        <w:rPr>
          <w:rFonts w:ascii="Arial" w:hAnsi="Arial" w:cs="Arial"/>
          <w:b/>
          <w:bCs/>
          <w:caps/>
          <w:color w:val="7E4F6F"/>
          <w:sz w:val="28"/>
          <w:szCs w:val="28"/>
        </w:rPr>
        <w:t>LABORALES – PREVISIONALES</w:t>
      </w:r>
    </w:p>
    <w:p w:rsidR="00302B24" w:rsidRDefault="00302B24" w:rsidP="00302B24">
      <w:pPr>
        <w:pStyle w:val="NormalWeb"/>
        <w:spacing w:before="0" w:beforeAutospacing="0" w:after="0" w:afterAutospacing="0"/>
        <w:rPr>
          <w:rFonts w:ascii="Arial" w:hAnsi="Arial" w:cs="Arial"/>
          <w:b/>
          <w:bCs/>
          <w:caps/>
          <w:color w:val="7E4F6F"/>
          <w:sz w:val="22"/>
          <w:szCs w:val="22"/>
        </w:rPr>
      </w:pPr>
    </w:p>
    <w:p w:rsidR="00302B24" w:rsidRDefault="00302B24" w:rsidP="00302B24">
      <w:pPr>
        <w:pStyle w:val="NormalWeb"/>
        <w:spacing w:before="0" w:beforeAutospacing="0" w:after="0" w:afterAutospacing="0"/>
        <w:jc w:val="both"/>
        <w:rPr>
          <w:rFonts w:ascii="Arial" w:hAnsi="Arial" w:cs="Arial"/>
          <w:b/>
          <w:bCs/>
          <w:caps/>
          <w:color w:val="7E4F6F"/>
          <w:sz w:val="22"/>
          <w:szCs w:val="22"/>
        </w:rPr>
      </w:pPr>
      <w:r w:rsidRPr="00302B24">
        <w:rPr>
          <w:rFonts w:ascii="Arial" w:hAnsi="Arial" w:cs="Arial"/>
          <w:b/>
          <w:bCs/>
          <w:caps/>
          <w:color w:val="7E4F6F"/>
          <w:sz w:val="22"/>
          <w:szCs w:val="22"/>
        </w:rPr>
        <w:t xml:space="preserve">Recursos de la Seguridad Social. Contribuciones patronales de los empleadores de los sectores textil, confección, calzado y marroquinería. Precisiones para acceder a la detracción total </w:t>
      </w:r>
      <w:r>
        <w:rPr>
          <w:rFonts w:ascii="Arial" w:hAnsi="Arial" w:cs="Arial"/>
          <w:b/>
          <w:bCs/>
          <w:caps/>
          <w:color w:val="7E4F6F"/>
          <w:sz w:val="22"/>
          <w:szCs w:val="22"/>
        </w:rPr>
        <w:t xml:space="preserve">- </w:t>
      </w:r>
      <w:r w:rsidRPr="00302B24">
        <w:rPr>
          <w:rFonts w:ascii="Arial" w:hAnsi="Arial" w:cs="Arial"/>
          <w:b/>
          <w:bCs/>
          <w:caps/>
          <w:color w:val="7E4F6F"/>
          <w:sz w:val="22"/>
          <w:szCs w:val="22"/>
        </w:rPr>
        <w:t>RESOLUCIÓN (Min. Desarrollo Productivo) 70/2020</w:t>
      </w:r>
    </w:p>
    <w:p w:rsidR="00302B24" w:rsidRPr="00302B24" w:rsidRDefault="00302B24" w:rsidP="00302B24">
      <w:pPr>
        <w:pStyle w:val="NormalWeb"/>
        <w:spacing w:before="0" w:beforeAutospacing="0" w:after="0" w:afterAutospacing="0" w:line="360" w:lineRule="auto"/>
        <w:jc w:val="both"/>
        <w:rPr>
          <w:rStyle w:val="negritanovedades"/>
          <w:b w:val="0"/>
          <w:bCs w:val="0"/>
          <w:lang w:val="es-AR" w:eastAsia="es-AR"/>
        </w:rPr>
      </w:pPr>
      <w:r w:rsidRPr="00302B24">
        <w:rPr>
          <w:rStyle w:val="negritanovedades"/>
          <w:b w:val="0"/>
          <w:lang w:val="es-AR" w:eastAsia="es-AR"/>
        </w:rPr>
        <w:lastRenderedPageBreak/>
        <w:t>El Ministerio de Desarrollo Productivo designó a la Subsecretaría de Industria para que sea la responsable de verificar que los empleadores del sector textil, confección, calzado y marroquinería cumplan con los requisitos previstos en el Decreto 1067/2018 para acceder a la detracción total sobre la base imponible de las contribuciones patronales dispuesta por el artículo 22 de la ley 27541.</w:t>
      </w:r>
    </w:p>
    <w:p w:rsidR="00302B24" w:rsidRDefault="00302B24" w:rsidP="00302B24">
      <w:pPr>
        <w:pStyle w:val="NormalWeb"/>
        <w:spacing w:before="0" w:beforeAutospacing="0" w:after="0" w:afterAutospacing="0"/>
        <w:rPr>
          <w:rFonts w:ascii="Arial" w:hAnsi="Arial" w:cs="Arial"/>
          <w:b/>
          <w:bCs/>
          <w:caps/>
          <w:color w:val="7E4F6F"/>
          <w:sz w:val="22"/>
          <w:szCs w:val="22"/>
        </w:rPr>
      </w:pPr>
    </w:p>
    <w:p w:rsidR="00E448B5" w:rsidRDefault="00302B24" w:rsidP="00302B24">
      <w:pPr>
        <w:pStyle w:val="NormalWeb"/>
        <w:spacing w:before="0" w:beforeAutospacing="0" w:after="0" w:afterAutospacing="0"/>
        <w:rPr>
          <w:rFonts w:ascii="Arial" w:hAnsi="Arial" w:cs="Arial"/>
          <w:b/>
          <w:bCs/>
          <w:caps/>
          <w:color w:val="7E4F6F"/>
          <w:sz w:val="22"/>
          <w:szCs w:val="22"/>
        </w:rPr>
      </w:pPr>
      <w:r w:rsidRPr="00302B24">
        <w:rPr>
          <w:rFonts w:ascii="Arial" w:hAnsi="Arial" w:cs="Arial"/>
          <w:b/>
          <w:bCs/>
          <w:caps/>
          <w:color w:val="7E4F6F"/>
          <w:sz w:val="22"/>
          <w:szCs w:val="22"/>
        </w:rPr>
        <w:t>Jubilaciones, pensiones y asignaciones familiares: incremento a partir de marzo</w:t>
      </w:r>
      <w:r>
        <w:rPr>
          <w:rFonts w:ascii="Arial" w:hAnsi="Arial" w:cs="Arial"/>
          <w:b/>
          <w:bCs/>
          <w:caps/>
          <w:color w:val="7E4F6F"/>
          <w:sz w:val="22"/>
          <w:szCs w:val="22"/>
        </w:rPr>
        <w:t xml:space="preserve"> - </w:t>
      </w:r>
      <w:r w:rsidRPr="00302B24">
        <w:rPr>
          <w:rFonts w:ascii="Arial" w:hAnsi="Arial" w:cs="Arial"/>
          <w:b/>
          <w:bCs/>
          <w:caps/>
          <w:color w:val="7E4F6F"/>
          <w:sz w:val="22"/>
          <w:szCs w:val="22"/>
        </w:rPr>
        <w:t>DECRETO (Poder Ejecutivo) 163/2020</w:t>
      </w:r>
    </w:p>
    <w:p w:rsidR="00302B24" w:rsidRDefault="00302B24" w:rsidP="00302B24">
      <w:pPr>
        <w:pStyle w:val="NormalWeb"/>
        <w:spacing w:before="0" w:beforeAutospacing="0" w:after="0" w:afterAutospacing="0"/>
        <w:rPr>
          <w:rFonts w:ascii="Arial" w:hAnsi="Arial" w:cs="Arial"/>
          <w:b/>
          <w:bCs/>
          <w:caps/>
          <w:color w:val="7E4F6F"/>
          <w:sz w:val="22"/>
          <w:szCs w:val="22"/>
        </w:rPr>
      </w:pPr>
    </w:p>
    <w:p w:rsidR="00302B24" w:rsidRDefault="00302B24" w:rsidP="00302B24">
      <w:pPr>
        <w:pStyle w:val="NormalWeb"/>
        <w:spacing w:before="0" w:beforeAutospacing="0" w:after="0" w:afterAutospacing="0" w:line="360" w:lineRule="auto"/>
        <w:jc w:val="both"/>
        <w:rPr>
          <w:rStyle w:val="negritanovedades"/>
          <w:b w:val="0"/>
          <w:lang w:val="es-AR" w:eastAsia="es-AR"/>
        </w:rPr>
      </w:pPr>
      <w:r w:rsidRPr="00302B24">
        <w:rPr>
          <w:rStyle w:val="negritanovedades"/>
          <w:b w:val="0"/>
          <w:lang w:val="es-AR" w:eastAsia="es-AR"/>
        </w:rPr>
        <w:t>El Poder Ejecutivo dispuso un incremento de las jubilaciones y pensiones del 2,3%, más una suma fija de 1500 pesos.</w:t>
      </w:r>
    </w:p>
    <w:p w:rsidR="00302B24" w:rsidRDefault="00302B24" w:rsidP="00302B24">
      <w:pPr>
        <w:pStyle w:val="NormalWeb"/>
        <w:spacing w:before="0" w:beforeAutospacing="0" w:after="0" w:afterAutospacing="0" w:line="360" w:lineRule="auto"/>
        <w:jc w:val="both"/>
        <w:rPr>
          <w:rStyle w:val="negritanovedades"/>
          <w:b w:val="0"/>
          <w:lang w:val="es-AR" w:eastAsia="es-AR"/>
        </w:rPr>
      </w:pPr>
      <w:r w:rsidRPr="00302B24">
        <w:rPr>
          <w:rStyle w:val="negritanovedades"/>
          <w:b w:val="0"/>
          <w:lang w:val="es-AR" w:eastAsia="es-AR"/>
        </w:rPr>
        <w:t>Asimismo, las asignaciones familiares se incrementan un 13%.</w:t>
      </w:r>
    </w:p>
    <w:p w:rsidR="00302B24" w:rsidRDefault="00302B24" w:rsidP="00302B24">
      <w:pPr>
        <w:pStyle w:val="NormalWeb"/>
        <w:spacing w:before="0" w:beforeAutospacing="0" w:after="0" w:afterAutospacing="0" w:line="360" w:lineRule="auto"/>
        <w:jc w:val="both"/>
        <w:rPr>
          <w:rStyle w:val="negritanovedades"/>
          <w:b w:val="0"/>
          <w:lang w:val="es-AR" w:eastAsia="es-AR"/>
        </w:rPr>
      </w:pPr>
    </w:p>
    <w:p w:rsidR="00302B24" w:rsidRDefault="00302B24" w:rsidP="00302B24">
      <w:pPr>
        <w:pStyle w:val="NormalWeb"/>
        <w:spacing w:before="0" w:beforeAutospacing="0" w:after="0" w:afterAutospacing="0"/>
        <w:jc w:val="both"/>
        <w:rPr>
          <w:rFonts w:ascii="Arial" w:hAnsi="Arial" w:cs="Arial"/>
          <w:b/>
          <w:bCs/>
          <w:caps/>
          <w:color w:val="7E4F6F"/>
          <w:sz w:val="21"/>
          <w:szCs w:val="21"/>
        </w:rPr>
      </w:pPr>
      <w:r w:rsidRPr="00302B24">
        <w:rPr>
          <w:rFonts w:ascii="Arial" w:hAnsi="Arial" w:cs="Arial"/>
          <w:b/>
          <w:bCs/>
          <w:caps/>
          <w:color w:val="7E4F6F"/>
          <w:sz w:val="22"/>
          <w:szCs w:val="22"/>
        </w:rPr>
        <w:t>Ganancias sobre sueldos</w:t>
      </w:r>
      <w:r>
        <w:rPr>
          <w:rFonts w:ascii="Arial" w:hAnsi="Arial" w:cs="Arial"/>
          <w:b/>
          <w:bCs/>
          <w:caps/>
          <w:color w:val="7E4F6F"/>
          <w:sz w:val="22"/>
          <w:szCs w:val="22"/>
        </w:rPr>
        <w:t xml:space="preserve"> -</w:t>
      </w:r>
      <w:r w:rsidRPr="00302B24">
        <w:rPr>
          <w:rFonts w:ascii="Arial" w:hAnsi="Arial" w:cs="Arial"/>
          <w:b/>
          <w:bCs/>
          <w:caps/>
          <w:color w:val="7E4F6F"/>
          <w:sz w:val="21"/>
          <w:szCs w:val="21"/>
        </w:rPr>
        <w:t xml:space="preserve"> </w:t>
      </w:r>
      <w:r>
        <w:rPr>
          <w:rFonts w:ascii="Arial" w:hAnsi="Arial" w:cs="Arial"/>
          <w:b/>
          <w:bCs/>
          <w:caps/>
          <w:color w:val="7E4F6F"/>
          <w:sz w:val="21"/>
          <w:szCs w:val="21"/>
        </w:rPr>
        <w:t>Intimaciones de la AFIP por deducción de gastos por indumentaria y equipamiento laboral</w:t>
      </w:r>
    </w:p>
    <w:p w:rsidR="00302B24" w:rsidRDefault="00302B24" w:rsidP="00302B24">
      <w:pPr>
        <w:pStyle w:val="NormalWeb"/>
        <w:spacing w:before="0" w:beforeAutospacing="0" w:after="0" w:afterAutospacing="0"/>
        <w:jc w:val="both"/>
        <w:rPr>
          <w:rFonts w:ascii="Arial" w:hAnsi="Arial" w:cs="Arial"/>
          <w:b/>
          <w:bCs/>
          <w:caps/>
          <w:color w:val="7E4F6F"/>
          <w:sz w:val="21"/>
          <w:szCs w:val="21"/>
        </w:rPr>
      </w:pPr>
    </w:p>
    <w:p w:rsidR="00302B24" w:rsidRPr="00302B24" w:rsidRDefault="00302B24" w:rsidP="00302B24">
      <w:pPr>
        <w:spacing w:before="80" w:line="360" w:lineRule="auto"/>
        <w:ind w:right="105"/>
        <w:jc w:val="both"/>
        <w:rPr>
          <w:rStyle w:val="negritanovedades"/>
          <w:b w:val="0"/>
        </w:rPr>
      </w:pPr>
      <w:r w:rsidRPr="00302B24">
        <w:rPr>
          <w:rStyle w:val="negritanovedades"/>
          <w:b w:val="0"/>
        </w:rPr>
        <w:t xml:space="preserve">El Organismo, en su rol de fiscalizador, está enviando notificaciones al </w:t>
      </w:r>
      <w:r w:rsidRPr="00302B24">
        <w:rPr>
          <w:rStyle w:val="negritanovedades"/>
          <w:b w:val="0"/>
          <w:bCs w:val="0"/>
        </w:rPr>
        <w:t>domicilio fiscal electrónico (DFE)</w:t>
      </w:r>
      <w:r w:rsidRPr="00302B24">
        <w:rPr>
          <w:rStyle w:val="negritanovedades"/>
          <w:b w:val="0"/>
        </w:rPr>
        <w:t xml:space="preserve"> a los trabajadores en relación de dependencia sobre posibles inconsistencias por la carga en el </w:t>
      </w:r>
      <w:r w:rsidRPr="00302B24">
        <w:rPr>
          <w:rStyle w:val="negritanovedades"/>
          <w:b w:val="0"/>
          <w:bCs w:val="0"/>
        </w:rPr>
        <w:t>SIRADIG</w:t>
      </w:r>
      <w:r w:rsidRPr="00302B24">
        <w:rPr>
          <w:rStyle w:val="negritanovedades"/>
          <w:b w:val="0"/>
        </w:rPr>
        <w:t xml:space="preserve"> de deducciones relacionadas con gastos por la adquisición de indumentaria y equipamiento para uso exclusivo en el lugar de trabajo con </w:t>
      </w:r>
      <w:proofErr w:type="gramStart"/>
      <w:r w:rsidRPr="00302B24">
        <w:rPr>
          <w:rStyle w:val="negritanovedades"/>
          <w:b w:val="0"/>
        </w:rPr>
        <w:t>carácter obligatorio y no provistos</w:t>
      </w:r>
      <w:proofErr w:type="gramEnd"/>
      <w:r w:rsidRPr="00302B24">
        <w:rPr>
          <w:rStyle w:val="negritanovedades"/>
          <w:b w:val="0"/>
        </w:rPr>
        <w:t xml:space="preserve"> por el empleador.</w:t>
      </w:r>
    </w:p>
    <w:p w:rsidR="00302B24" w:rsidRPr="00302B24" w:rsidRDefault="00302B24" w:rsidP="00302B24">
      <w:pPr>
        <w:spacing w:before="80" w:line="360" w:lineRule="auto"/>
        <w:ind w:right="105"/>
        <w:jc w:val="both"/>
        <w:rPr>
          <w:rStyle w:val="negritanovedades"/>
          <w:b w:val="0"/>
        </w:rPr>
      </w:pPr>
      <w:r w:rsidRPr="00302B24">
        <w:rPr>
          <w:rStyle w:val="negritanovedades"/>
          <w:b w:val="0"/>
        </w:rPr>
        <w:t xml:space="preserve">En la intimación, la </w:t>
      </w:r>
      <w:r w:rsidRPr="00302B24">
        <w:rPr>
          <w:rStyle w:val="negritanovedades"/>
          <w:b w:val="0"/>
          <w:bCs w:val="0"/>
        </w:rPr>
        <w:t>AFIP</w:t>
      </w:r>
      <w:r w:rsidRPr="00302B24">
        <w:rPr>
          <w:rStyle w:val="negritanovedades"/>
          <w:b w:val="0"/>
        </w:rPr>
        <w:t xml:space="preserve"> señala que las causas podrían obedecer a las siguientes situaciones:</w:t>
      </w:r>
    </w:p>
    <w:p w:rsidR="00302B24" w:rsidRPr="00302B24" w:rsidRDefault="00302B24" w:rsidP="00302B24">
      <w:pPr>
        <w:spacing w:before="80" w:line="360" w:lineRule="auto"/>
        <w:ind w:right="105"/>
        <w:jc w:val="both"/>
        <w:rPr>
          <w:rStyle w:val="negritanovedades"/>
          <w:b w:val="0"/>
        </w:rPr>
      </w:pPr>
      <w:r w:rsidRPr="00302B24">
        <w:rPr>
          <w:rStyle w:val="negritanovedades"/>
          <w:b w:val="0"/>
        </w:rPr>
        <w:t>1. El monto informado no se condice con tu nivel de ingresos;</w:t>
      </w:r>
    </w:p>
    <w:p w:rsidR="00302B24" w:rsidRPr="00302B24" w:rsidRDefault="00302B24" w:rsidP="00302B24">
      <w:pPr>
        <w:spacing w:before="80" w:line="360" w:lineRule="auto"/>
        <w:ind w:right="105"/>
        <w:jc w:val="both"/>
        <w:rPr>
          <w:rStyle w:val="negritanovedades"/>
          <w:b w:val="0"/>
        </w:rPr>
      </w:pPr>
      <w:r w:rsidRPr="00302B24">
        <w:rPr>
          <w:rStyle w:val="negritanovedades"/>
          <w:b w:val="0"/>
        </w:rPr>
        <w:t>2. La actividad realizada por tu/s empleador/es no requeriría “a priori” el uso de indumentaria y/o equipamiento exclusivo en el lugar de trabajo;</w:t>
      </w:r>
    </w:p>
    <w:p w:rsidR="00302B24" w:rsidRPr="00302B24" w:rsidRDefault="00302B24" w:rsidP="00302B24">
      <w:pPr>
        <w:spacing w:before="80" w:line="360" w:lineRule="auto"/>
        <w:ind w:right="105"/>
        <w:jc w:val="both"/>
        <w:rPr>
          <w:rStyle w:val="negritanovedades"/>
          <w:b w:val="0"/>
        </w:rPr>
      </w:pPr>
      <w:r w:rsidRPr="00302B24">
        <w:rPr>
          <w:rStyle w:val="negritanovedades"/>
          <w:b w:val="0"/>
        </w:rPr>
        <w:t>3. El total por vos informado supera la media obtenida, con base en los datos ingresados por los trabajadores que declararon erogaciones relacionadas con esta deducción;</w:t>
      </w:r>
    </w:p>
    <w:p w:rsidR="00302B24" w:rsidRPr="00302B24" w:rsidRDefault="00302B24" w:rsidP="00302B24">
      <w:pPr>
        <w:spacing w:before="80" w:line="360" w:lineRule="auto"/>
        <w:ind w:right="105"/>
        <w:jc w:val="both"/>
        <w:rPr>
          <w:rStyle w:val="negritanovedades"/>
          <w:b w:val="0"/>
        </w:rPr>
      </w:pPr>
      <w:r w:rsidRPr="00302B24">
        <w:rPr>
          <w:rStyle w:val="negritanovedades"/>
          <w:b w:val="0"/>
        </w:rPr>
        <w:t>4. El proveedor al cual le adquiriste los bienes no tiene declarada ante este Organismo una actividad que denote la provisión de los conceptos que dan origen a este ítem deducible.</w:t>
      </w:r>
    </w:p>
    <w:p w:rsidR="00302B24" w:rsidRPr="00302B24" w:rsidRDefault="00302B24" w:rsidP="00302B24">
      <w:pPr>
        <w:spacing w:before="80" w:line="360" w:lineRule="auto"/>
        <w:ind w:right="105"/>
        <w:jc w:val="both"/>
        <w:rPr>
          <w:rStyle w:val="negritanovedades"/>
          <w:b w:val="0"/>
        </w:rPr>
      </w:pPr>
      <w:r w:rsidRPr="00302B24">
        <w:rPr>
          <w:rStyle w:val="negritanovedades"/>
          <w:b w:val="0"/>
        </w:rPr>
        <w:t xml:space="preserve">Además, aclara que esta situación puede regularizarse </w:t>
      </w:r>
      <w:r w:rsidRPr="00302B24">
        <w:rPr>
          <w:rStyle w:val="negritanovedades"/>
          <w:b w:val="0"/>
          <w:bCs w:val="0"/>
        </w:rPr>
        <w:t>sin consecuencias para el contribuyente hasta el 31 de marzo de 2020</w:t>
      </w:r>
      <w:r w:rsidRPr="00302B24">
        <w:rPr>
          <w:rStyle w:val="negritanovedades"/>
          <w:b w:val="0"/>
        </w:rPr>
        <w:t>.</w:t>
      </w:r>
    </w:p>
    <w:p w:rsidR="00302B24" w:rsidRPr="00302B24" w:rsidRDefault="00302B24" w:rsidP="00302B24">
      <w:pPr>
        <w:spacing w:before="80" w:line="360" w:lineRule="auto"/>
        <w:ind w:right="105"/>
        <w:jc w:val="both"/>
        <w:rPr>
          <w:rStyle w:val="negritanovedades"/>
          <w:b w:val="0"/>
        </w:rPr>
      </w:pPr>
      <w:r w:rsidRPr="00302B24">
        <w:rPr>
          <w:rStyle w:val="negritanovedades"/>
          <w:b w:val="0"/>
        </w:rPr>
        <w:lastRenderedPageBreak/>
        <w:t xml:space="preserve">Es importante recordar que las comunicaciones al </w:t>
      </w:r>
      <w:r w:rsidRPr="00302B24">
        <w:rPr>
          <w:rStyle w:val="negritanovedades"/>
          <w:b w:val="0"/>
          <w:bCs w:val="0"/>
        </w:rPr>
        <w:t>DFE</w:t>
      </w:r>
      <w:r w:rsidRPr="00302B24">
        <w:rPr>
          <w:rStyle w:val="negritanovedades"/>
          <w:b w:val="0"/>
        </w:rPr>
        <w:t xml:space="preserve"> se consideran perfeccionadas el día en que el contribuyente acceda al </w:t>
      </w:r>
      <w:r w:rsidRPr="00302B24">
        <w:rPr>
          <w:rStyle w:val="negritanovedades"/>
          <w:b w:val="0"/>
          <w:bCs w:val="0"/>
        </w:rPr>
        <w:t>documento digital</w:t>
      </w:r>
      <w:r w:rsidRPr="00302B24">
        <w:rPr>
          <w:rStyle w:val="negritanovedades"/>
          <w:b w:val="0"/>
        </w:rPr>
        <w:t xml:space="preserve"> o el </w:t>
      </w:r>
      <w:r w:rsidRPr="00302B24">
        <w:rPr>
          <w:rStyle w:val="negritanovedades"/>
          <w:b w:val="0"/>
          <w:bCs w:val="0"/>
        </w:rPr>
        <w:t>día lunes inmediato posterior</w:t>
      </w:r>
      <w:r w:rsidRPr="00302B24">
        <w:rPr>
          <w:rStyle w:val="negritanovedades"/>
          <w:b w:val="0"/>
        </w:rPr>
        <w:t xml:space="preserve"> a la fecha en que las comunicaciones o </w:t>
      </w:r>
      <w:r w:rsidRPr="00302B24">
        <w:rPr>
          <w:rStyle w:val="negritanovedades"/>
          <w:b w:val="0"/>
          <w:bCs w:val="0"/>
        </w:rPr>
        <w:t>notificaciones se encuentren disponibles</w:t>
      </w:r>
      <w:r w:rsidRPr="00302B24">
        <w:rPr>
          <w:rStyle w:val="negritanovedades"/>
          <w:b w:val="0"/>
        </w:rPr>
        <w:t xml:space="preserve">, de acuerdo a lo previsto en la </w:t>
      </w:r>
      <w:r w:rsidRPr="00302B24">
        <w:rPr>
          <w:rStyle w:val="negritanovedades"/>
          <w:b w:val="0"/>
          <w:bCs w:val="0"/>
        </w:rPr>
        <w:t>resolución general (AFIP) 4280</w:t>
      </w:r>
      <w:r w:rsidRPr="00302B24">
        <w:rPr>
          <w:rStyle w:val="negritanovedades"/>
          <w:b w:val="0"/>
        </w:rPr>
        <w:t>.</w:t>
      </w:r>
    </w:p>
    <w:p w:rsidR="00302B24" w:rsidRPr="00302B24" w:rsidRDefault="00302B24" w:rsidP="00302B24">
      <w:pPr>
        <w:spacing w:before="80" w:line="360" w:lineRule="auto"/>
        <w:ind w:right="105"/>
        <w:jc w:val="both"/>
        <w:rPr>
          <w:rStyle w:val="negritanovedades"/>
          <w:b w:val="0"/>
        </w:rPr>
      </w:pPr>
      <w:r w:rsidRPr="00302B24">
        <w:rPr>
          <w:rStyle w:val="negritanovedades"/>
          <w:b w:val="0"/>
        </w:rPr>
        <w:t xml:space="preserve">Cuando el día fijado anteriormente coincida con un </w:t>
      </w:r>
      <w:r w:rsidRPr="00302B24">
        <w:rPr>
          <w:rStyle w:val="negritanovedades"/>
          <w:b w:val="0"/>
          <w:bCs w:val="0"/>
        </w:rPr>
        <w:t>día feriado o inhábil</w:t>
      </w:r>
      <w:r w:rsidRPr="00302B24">
        <w:rPr>
          <w:rStyle w:val="negritanovedades"/>
          <w:b w:val="0"/>
        </w:rPr>
        <w:t xml:space="preserve">, o en caso de inoperatividad del sistema por un período </w:t>
      </w:r>
      <w:r w:rsidRPr="00302B24">
        <w:rPr>
          <w:rStyle w:val="negritanovedades"/>
          <w:b w:val="0"/>
          <w:bCs w:val="0"/>
        </w:rPr>
        <w:t>igual o mayor a 24 horas</w:t>
      </w:r>
      <w:r w:rsidRPr="00302B24">
        <w:rPr>
          <w:rStyle w:val="negritanovedades"/>
          <w:b w:val="0"/>
        </w:rPr>
        <w:t xml:space="preserve">, la notificación se trasladará al </w:t>
      </w:r>
      <w:r w:rsidRPr="00302B24">
        <w:rPr>
          <w:rStyle w:val="negritanovedades"/>
          <w:b w:val="0"/>
          <w:bCs w:val="0"/>
        </w:rPr>
        <w:t>primer día hábil inmediato siguiente</w:t>
      </w:r>
      <w:r w:rsidRPr="00302B24">
        <w:rPr>
          <w:rStyle w:val="negritanovedades"/>
          <w:b w:val="0"/>
        </w:rPr>
        <w:t>.</w:t>
      </w:r>
    </w:p>
    <w:p w:rsidR="00302B24" w:rsidRPr="00302B24" w:rsidRDefault="00302B24" w:rsidP="00302B24">
      <w:pPr>
        <w:pStyle w:val="NormalWeb"/>
        <w:spacing w:before="0" w:beforeAutospacing="0" w:after="0" w:afterAutospacing="0" w:line="360" w:lineRule="auto"/>
        <w:jc w:val="both"/>
        <w:rPr>
          <w:rStyle w:val="negritanovedades"/>
          <w:b w:val="0"/>
          <w:lang w:val="es-AR" w:eastAsia="es-AR"/>
        </w:rPr>
      </w:pPr>
      <w:r w:rsidRPr="00302B24">
        <w:rPr>
          <w:rStyle w:val="negritanovedades"/>
          <w:b w:val="0"/>
        </w:rPr>
        <w:t xml:space="preserve">Para facilitar la lectura de las notificaciones, el </w:t>
      </w:r>
      <w:r w:rsidRPr="00302B24">
        <w:rPr>
          <w:rStyle w:val="negritanovedades"/>
          <w:b w:val="0"/>
          <w:bCs w:val="0"/>
        </w:rPr>
        <w:t>servicio web DFE</w:t>
      </w:r>
      <w:r w:rsidRPr="00302B24">
        <w:rPr>
          <w:rStyle w:val="negritanovedades"/>
          <w:b w:val="0"/>
        </w:rPr>
        <w:t xml:space="preserve">, al cual se accede con </w:t>
      </w:r>
      <w:r w:rsidRPr="00302B24">
        <w:rPr>
          <w:rStyle w:val="negritanovedades"/>
          <w:b w:val="0"/>
          <w:bCs w:val="0"/>
        </w:rPr>
        <w:t>clave fiscal</w:t>
      </w:r>
      <w:r w:rsidRPr="00302B24">
        <w:rPr>
          <w:rStyle w:val="negritanovedades"/>
          <w:b w:val="0"/>
        </w:rPr>
        <w:t xml:space="preserve"> ingresando a la </w:t>
      </w:r>
      <w:r w:rsidRPr="00302B24">
        <w:rPr>
          <w:rStyle w:val="negritanovedades"/>
          <w:b w:val="0"/>
          <w:bCs w:val="0"/>
        </w:rPr>
        <w:t>Web de la AFIP</w:t>
      </w:r>
      <w:r w:rsidRPr="00302B24">
        <w:rPr>
          <w:rStyle w:val="negritanovedades"/>
          <w:b w:val="0"/>
        </w:rPr>
        <w:t xml:space="preserve">, permite configurarlo para recibir alertas sobre las comunicaciones y vincular una casilla de correo electrónico. Para hacerlo, se deberá ingresar a </w:t>
      </w:r>
      <w:r w:rsidRPr="00302B24">
        <w:rPr>
          <w:rStyle w:val="negritanovedades"/>
          <w:b w:val="0"/>
          <w:bCs w:val="0"/>
        </w:rPr>
        <w:t>“Mis Correos” - opción “Crear”, en el servicio DFE</w:t>
      </w:r>
      <w:r w:rsidRPr="00302B24">
        <w:rPr>
          <w:rStyle w:val="negritanovedades"/>
          <w:b w:val="0"/>
        </w:rPr>
        <w:t xml:space="preserve">. Luego, el Organismo envía un </w:t>
      </w:r>
      <w:r w:rsidRPr="00302B24">
        <w:rPr>
          <w:rStyle w:val="negritanovedades"/>
          <w:b w:val="0"/>
          <w:bCs w:val="0"/>
        </w:rPr>
        <w:t xml:space="preserve">aviso al correo </w:t>
      </w:r>
      <w:r w:rsidRPr="00302B24">
        <w:rPr>
          <w:rStyle w:val="negritanovedades"/>
          <w:b w:val="0"/>
        </w:rPr>
        <w:t xml:space="preserve">informado para que abra el servicio y pueda notificarlo de inmediato. Además, se puede </w:t>
      </w:r>
      <w:r w:rsidRPr="00302B24">
        <w:rPr>
          <w:rStyle w:val="negritanovedades"/>
          <w:b w:val="0"/>
          <w:bCs w:val="0"/>
        </w:rPr>
        <w:t xml:space="preserve">autorizar a una o más personas </w:t>
      </w:r>
      <w:r w:rsidRPr="00302B24">
        <w:rPr>
          <w:rStyle w:val="negritanovedades"/>
          <w:b w:val="0"/>
        </w:rPr>
        <w:t xml:space="preserve">para que accedan a las </w:t>
      </w:r>
      <w:r w:rsidRPr="00302B24">
        <w:rPr>
          <w:rStyle w:val="negritanovedades"/>
          <w:b w:val="0"/>
          <w:bCs w:val="0"/>
        </w:rPr>
        <w:t>comunicaciones y notificaciones</w:t>
      </w:r>
      <w:r w:rsidRPr="00302B24">
        <w:rPr>
          <w:rStyle w:val="negritanovedades"/>
          <w:b w:val="0"/>
        </w:rPr>
        <w:t xml:space="preserve">, ingresando al </w:t>
      </w:r>
      <w:r w:rsidRPr="00302B24">
        <w:rPr>
          <w:rStyle w:val="negritanovedades"/>
          <w:b w:val="0"/>
          <w:bCs w:val="0"/>
        </w:rPr>
        <w:t>“Administrador de Relaciones”</w:t>
      </w:r>
      <w:r w:rsidRPr="00302B24">
        <w:rPr>
          <w:rStyle w:val="negritanovedades"/>
          <w:b w:val="0"/>
        </w:rPr>
        <w:t>, una vez realizada la adhesión al DFE</w:t>
      </w:r>
    </w:p>
    <w:p w:rsidR="00302B24" w:rsidRDefault="00302B24" w:rsidP="00302B24">
      <w:pPr>
        <w:pStyle w:val="NormalWeb"/>
        <w:spacing w:before="0" w:beforeAutospacing="0" w:after="0" w:afterAutospacing="0" w:line="360" w:lineRule="auto"/>
        <w:jc w:val="both"/>
        <w:rPr>
          <w:rFonts w:ascii="Arial" w:hAnsi="Arial" w:cs="Arial"/>
          <w:b/>
          <w:bCs/>
          <w:caps/>
          <w:color w:val="7E4F6F"/>
          <w:sz w:val="22"/>
          <w:szCs w:val="22"/>
        </w:rPr>
      </w:pPr>
    </w:p>
    <w:p w:rsidR="00302B24" w:rsidRDefault="00302B24" w:rsidP="00302B24">
      <w:pPr>
        <w:pStyle w:val="NormalWeb"/>
        <w:spacing w:before="0" w:beforeAutospacing="0" w:after="0" w:afterAutospacing="0" w:line="360" w:lineRule="auto"/>
        <w:jc w:val="both"/>
        <w:rPr>
          <w:rFonts w:ascii="Arial" w:hAnsi="Arial" w:cs="Arial"/>
          <w:b/>
          <w:bCs/>
          <w:caps/>
          <w:color w:val="7E4F6F"/>
          <w:sz w:val="22"/>
          <w:szCs w:val="22"/>
        </w:rPr>
      </w:pPr>
      <w:r w:rsidRPr="00302B24">
        <w:rPr>
          <w:rFonts w:ascii="Arial" w:hAnsi="Arial" w:cs="Arial"/>
          <w:b/>
          <w:bCs/>
          <w:caps/>
          <w:color w:val="7E4F6F"/>
          <w:sz w:val="22"/>
          <w:szCs w:val="22"/>
        </w:rPr>
        <w:t>Contribuciones patronales</w:t>
      </w:r>
    </w:p>
    <w:p w:rsidR="00302B24" w:rsidRDefault="00302B24" w:rsidP="00302B24">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Restablecimiento del crédito fiscal para IVA en la Ley 27541 de Solidaridad Social</w:t>
      </w:r>
    </w:p>
    <w:p w:rsidR="00302B24" w:rsidRDefault="00302B24" w:rsidP="00302B24">
      <w:pPr>
        <w:pStyle w:val="NormalWeb"/>
        <w:spacing w:before="0" w:beforeAutospacing="0" w:after="0" w:afterAutospacing="0"/>
        <w:jc w:val="both"/>
        <w:rPr>
          <w:rFonts w:ascii="Arial" w:hAnsi="Arial" w:cs="Arial"/>
          <w:b/>
          <w:bCs/>
          <w:caps/>
          <w:color w:val="7E4F6F"/>
          <w:sz w:val="21"/>
          <w:szCs w:val="21"/>
        </w:rPr>
      </w:pPr>
    </w:p>
    <w:p w:rsidR="00302B24" w:rsidRPr="00302B24" w:rsidRDefault="00302B24" w:rsidP="00302B24">
      <w:pPr>
        <w:pStyle w:val="NormalWeb"/>
        <w:spacing w:before="0" w:beforeAutospacing="0" w:after="0" w:afterAutospacing="0" w:line="360" w:lineRule="auto"/>
        <w:jc w:val="both"/>
        <w:rPr>
          <w:rStyle w:val="negritanovedades"/>
          <w:b w:val="0"/>
          <w:bCs w:val="0"/>
        </w:rPr>
      </w:pPr>
      <w:r w:rsidRPr="00302B24">
        <w:rPr>
          <w:rStyle w:val="negritanovedades"/>
          <w:b w:val="0"/>
        </w:rPr>
        <w:t>La ley 27541 de Solidaridad Social y Reactivación Productiva unifica en un solo texto legal el régimen contributivo y restituye la posibilidad de computar como crédito fiscal del IVA, el monto que resulte de aplicar a la base imponible para la determinación de las contribuciones patronales efectivamente abonadas, los porcentajes establecidos para cada jurisdicción en particular</w:t>
      </w:r>
    </w:p>
    <w:p w:rsidR="00302B24" w:rsidRDefault="00302B24" w:rsidP="00302B24">
      <w:pPr>
        <w:pStyle w:val="NormalWeb"/>
        <w:spacing w:before="0" w:beforeAutospacing="0" w:after="0" w:afterAutospacing="0" w:line="360" w:lineRule="auto"/>
        <w:jc w:val="both"/>
        <w:rPr>
          <w:rFonts w:ascii="Arial" w:hAnsi="Arial" w:cs="Arial"/>
          <w:b/>
          <w:bCs/>
          <w:caps/>
          <w:color w:val="7E4F6F"/>
          <w:sz w:val="22"/>
          <w:szCs w:val="22"/>
        </w:rPr>
      </w:pPr>
    </w:p>
    <w:p w:rsidR="00302B24" w:rsidRPr="00302B24" w:rsidRDefault="00302B24" w:rsidP="00302B24">
      <w:pPr>
        <w:pStyle w:val="NormalWeb"/>
        <w:spacing w:before="0" w:beforeAutospacing="0" w:after="0" w:afterAutospacing="0" w:line="360" w:lineRule="auto"/>
        <w:jc w:val="both"/>
        <w:rPr>
          <w:rFonts w:ascii="Arial" w:hAnsi="Arial" w:cs="Arial"/>
          <w:b/>
          <w:caps/>
          <w:color w:val="7E4F6F"/>
        </w:rPr>
      </w:pPr>
      <w:r w:rsidRPr="00302B24">
        <w:rPr>
          <w:rFonts w:ascii="Arial" w:hAnsi="Arial" w:cs="Arial"/>
          <w:b/>
          <w:caps/>
          <w:color w:val="7E4F6F"/>
        </w:rPr>
        <w:t>JURISPRUDENCIA</w:t>
      </w:r>
    </w:p>
    <w:p w:rsidR="00302B24" w:rsidRDefault="00302B24" w:rsidP="00302B24">
      <w:pPr>
        <w:pStyle w:val="NormalWeb"/>
        <w:spacing w:before="0" w:beforeAutospacing="0" w:after="0" w:afterAutospacing="0" w:line="360" w:lineRule="auto"/>
        <w:jc w:val="both"/>
        <w:rPr>
          <w:rFonts w:ascii="Arial" w:hAnsi="Arial" w:cs="Arial"/>
          <w:b/>
          <w:bCs/>
          <w:caps/>
          <w:color w:val="7E4F6F"/>
          <w:sz w:val="22"/>
          <w:szCs w:val="22"/>
        </w:rPr>
      </w:pPr>
      <w:r w:rsidRPr="00302B24">
        <w:rPr>
          <w:rFonts w:ascii="Arial" w:hAnsi="Arial" w:cs="Arial"/>
          <w:b/>
          <w:bCs/>
          <w:caps/>
          <w:color w:val="7E4F6F"/>
          <w:sz w:val="22"/>
          <w:szCs w:val="22"/>
        </w:rPr>
        <w:t>EMPLEADO DE COMERCIO. PERJUICIO OCASIONADO POR FALTA DE APORTES AL SEGURO “LA ESTRELLA”. PROCEDENCIA DE LA INDEMNIZACIÓN</w:t>
      </w:r>
    </w:p>
    <w:p w:rsidR="00302B24" w:rsidRDefault="00302B24" w:rsidP="00302B24">
      <w:pPr>
        <w:pStyle w:val="NormalWeb"/>
        <w:spacing w:before="0" w:beforeAutospacing="0" w:after="0" w:afterAutospacing="0" w:line="360" w:lineRule="auto"/>
        <w:jc w:val="both"/>
        <w:rPr>
          <w:rStyle w:val="negritanovedades"/>
          <w:b w:val="0"/>
          <w:lang w:val="es-AR" w:eastAsia="es-AR"/>
        </w:rPr>
      </w:pPr>
      <w:r w:rsidRPr="00302B24">
        <w:rPr>
          <w:rStyle w:val="negritanovedades"/>
          <w:b w:val="0"/>
          <w:lang w:val="es-AR" w:eastAsia="es-AR"/>
        </w:rPr>
        <w:t xml:space="preserve">En lo que aquí interesa, la actora reclamó en la demanda una suma “preventiva” y “provisoria” en concepto de “reintegro salarial del Seguro La Estrella CCT 130/1975” y, subsidiariamente, para el caso de que no se receptara la primitiva solicitud, efectuó el </w:t>
      </w:r>
      <w:r w:rsidRPr="00302B24">
        <w:rPr>
          <w:rStyle w:val="negritanovedades"/>
          <w:b w:val="0"/>
          <w:lang w:val="es-AR" w:eastAsia="es-AR"/>
        </w:rPr>
        <w:lastRenderedPageBreak/>
        <w:t>reclamo como cancelación de daños y perjuicios ocasionados como consecuencia del incumplimiento de la demandada.</w:t>
      </w:r>
    </w:p>
    <w:p w:rsidR="00302B24" w:rsidRDefault="00302B24" w:rsidP="00302B24">
      <w:pPr>
        <w:pStyle w:val="NormalWeb"/>
        <w:spacing w:before="0" w:beforeAutospacing="0" w:after="0" w:afterAutospacing="0" w:line="360" w:lineRule="auto"/>
        <w:jc w:val="both"/>
        <w:rPr>
          <w:rStyle w:val="negritanovedades"/>
          <w:b w:val="0"/>
          <w:lang w:val="es-AR" w:eastAsia="es-AR"/>
        </w:rPr>
      </w:pPr>
      <w:r w:rsidRPr="00302B24">
        <w:rPr>
          <w:rStyle w:val="negritanovedades"/>
          <w:b w:val="0"/>
          <w:lang w:val="es-AR" w:eastAsia="es-AR"/>
        </w:rPr>
        <w:t>La manifestación genérica del perito contador basada en la exhibición de constancias de carácter unilateral aportadas por la empresa no resulta suficiente para dar cuenta del cumplimiento de pago de aportes reclamado en concepto de daños y perjuicios por falta de aportes al seguro “La Estrella” respecto de la actora. Más aún cuando la empleadora omitió oficiar a la entidad aseguradora para acreditar su cumplimiento, siendo que era el medio más adecuado y objetivo para dar cuenta de ello.</w:t>
      </w:r>
    </w:p>
    <w:p w:rsidR="00302B24" w:rsidRDefault="00302B24" w:rsidP="00302B24">
      <w:pPr>
        <w:pStyle w:val="NormalWeb"/>
        <w:spacing w:before="0" w:beforeAutospacing="0" w:after="0" w:afterAutospacing="0" w:line="360" w:lineRule="auto"/>
        <w:jc w:val="both"/>
        <w:rPr>
          <w:rStyle w:val="negritanovedades"/>
          <w:b w:val="0"/>
          <w:lang w:val="es-AR" w:eastAsia="es-AR"/>
        </w:rPr>
      </w:pPr>
      <w:r w:rsidRPr="00302B24">
        <w:rPr>
          <w:rStyle w:val="negritanovedades"/>
          <w:b w:val="0"/>
          <w:lang w:val="es-AR" w:eastAsia="es-AR"/>
        </w:rPr>
        <w:t xml:space="preserve">En consecuencia, si dichos aportes no se constatan cumplidos, corresponde que sea el </w:t>
      </w:r>
      <w:proofErr w:type="spellStart"/>
      <w:r w:rsidRPr="00302B24">
        <w:rPr>
          <w:rStyle w:val="negritanovedades"/>
          <w:b w:val="0"/>
          <w:lang w:val="es-AR" w:eastAsia="es-AR"/>
        </w:rPr>
        <w:t>exempleador</w:t>
      </w:r>
      <w:proofErr w:type="spellEnd"/>
      <w:r w:rsidRPr="00302B24">
        <w:rPr>
          <w:rStyle w:val="negritanovedades"/>
          <w:b w:val="0"/>
          <w:lang w:val="es-AR" w:eastAsia="es-AR"/>
        </w:rPr>
        <w:t xml:space="preserve"> quien soporte las consecuencias del perjuicio ocasionado (conf. arts. 902 y 1071, párr. 2, CC).</w:t>
      </w:r>
    </w:p>
    <w:p w:rsidR="00302B24" w:rsidRPr="00302B24" w:rsidRDefault="00302B24" w:rsidP="00302B24">
      <w:pPr>
        <w:pStyle w:val="NormalWeb"/>
        <w:spacing w:before="0" w:beforeAutospacing="0" w:after="0" w:afterAutospacing="0" w:line="360" w:lineRule="auto"/>
        <w:jc w:val="both"/>
        <w:rPr>
          <w:rStyle w:val="negritanovedades"/>
          <w:b w:val="0"/>
          <w:sz w:val="18"/>
          <w:szCs w:val="18"/>
          <w:lang w:val="es-AR" w:eastAsia="es-AR"/>
        </w:rPr>
      </w:pPr>
      <w:r w:rsidRPr="00302B24">
        <w:rPr>
          <w:rStyle w:val="negritanovedades"/>
          <w:b w:val="0"/>
          <w:sz w:val="18"/>
          <w:szCs w:val="18"/>
          <w:lang w:val="es-AR" w:eastAsia="es-AR"/>
        </w:rPr>
        <w:t>SALES, MARISA MARISOL C/WALMART ARGENTINA SRL S/DESPIDO - CÁM. NAC. TRAB. - SALA X - 05/02/2020</w:t>
      </w:r>
    </w:p>
    <w:p w:rsidR="00E448B5" w:rsidRDefault="00E448B5" w:rsidP="004C6C9F">
      <w:pPr>
        <w:pStyle w:val="NormalWeb"/>
        <w:spacing w:before="0" w:beforeAutospacing="0" w:after="0" w:afterAutospacing="0"/>
        <w:jc w:val="center"/>
        <w:rPr>
          <w:rFonts w:ascii="Arial" w:hAnsi="Arial" w:cs="Arial"/>
          <w:b/>
          <w:bCs/>
          <w:caps/>
          <w:color w:val="7F870A"/>
          <w:sz w:val="28"/>
          <w:szCs w:val="28"/>
        </w:rPr>
      </w:pPr>
    </w:p>
    <w:p w:rsidR="00302B24" w:rsidRPr="00302B24" w:rsidRDefault="00302B24" w:rsidP="00302B24">
      <w:pPr>
        <w:pStyle w:val="NormalWeb"/>
        <w:spacing w:before="0" w:beforeAutospacing="0" w:after="0" w:afterAutospacing="0"/>
        <w:jc w:val="both"/>
        <w:rPr>
          <w:rFonts w:ascii="Arial" w:hAnsi="Arial" w:cs="Arial"/>
          <w:b/>
          <w:bCs/>
          <w:caps/>
          <w:color w:val="7E4F6F"/>
          <w:sz w:val="22"/>
          <w:szCs w:val="22"/>
        </w:rPr>
      </w:pPr>
      <w:r w:rsidRPr="00302B24">
        <w:rPr>
          <w:rFonts w:ascii="Arial" w:hAnsi="Arial" w:cs="Arial"/>
          <w:b/>
          <w:bCs/>
          <w:caps/>
          <w:color w:val="7E4F6F"/>
          <w:sz w:val="22"/>
          <w:szCs w:val="22"/>
        </w:rPr>
        <w:t>SISTEMA DE ÍNDICES DE PRECIOS MAYORISTAS (SIPM). ÍNDICE DEL COSTO DE LA CONSTRUCCIÓN (ICC). ENERO DE 2020</w:t>
      </w:r>
    </w:p>
    <w:p w:rsidR="00302B24" w:rsidRDefault="00302B24" w:rsidP="00302B24">
      <w:pPr>
        <w:pStyle w:val="NormalWeb"/>
        <w:spacing w:before="0" w:beforeAutospacing="0" w:after="0" w:afterAutospacing="0"/>
        <w:jc w:val="both"/>
        <w:rPr>
          <w:rFonts w:ascii="Arial" w:hAnsi="Arial" w:cs="Arial"/>
          <w:b/>
          <w:bCs/>
          <w:caps/>
          <w:color w:val="7E4F6F"/>
          <w:sz w:val="18"/>
          <w:szCs w:val="18"/>
        </w:rPr>
      </w:pPr>
    </w:p>
    <w:p w:rsidR="00302B24" w:rsidRPr="00302B24" w:rsidRDefault="00302B24" w:rsidP="00302B24">
      <w:pPr>
        <w:spacing w:after="240" w:line="360" w:lineRule="auto"/>
        <w:jc w:val="both"/>
        <w:rPr>
          <w:rStyle w:val="negritanovedades"/>
          <w:b w:val="0"/>
          <w:lang w:val="es-AR" w:eastAsia="es-AR"/>
        </w:rPr>
      </w:pPr>
      <w:r w:rsidRPr="00302B24">
        <w:rPr>
          <w:rStyle w:val="negritanovedades"/>
          <w:b w:val="0"/>
          <w:lang w:val="es-AR" w:eastAsia="es-AR"/>
        </w:rPr>
        <w:t xml:space="preserve">El Instituto Nacional de Estadística y Censos (INDEC) ha difundido la variación porcentual de los "Índices de Precios Mayoristas" (SIPM) e "Índice del Costo de la Construcción" (ICC) para el mes de Enero de 2020: </w:t>
      </w:r>
    </w:p>
    <w:tbl>
      <w:tblPr>
        <w:tblW w:w="3660"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3861"/>
        <w:gridCol w:w="2660"/>
      </w:tblGrid>
      <w:tr w:rsidR="00302B24" w:rsidRPr="00302B24" w:rsidTr="00302B24">
        <w:trPr>
          <w:trHeight w:val="315"/>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02B24" w:rsidRPr="00302B24" w:rsidRDefault="00302B24" w:rsidP="0048540A">
            <w:pPr>
              <w:jc w:val="center"/>
              <w:rPr>
                <w:rStyle w:val="negritanovedades"/>
                <w:b w:val="0"/>
                <w:lang w:val="es-AR" w:eastAsia="es-AR"/>
              </w:rPr>
            </w:pPr>
            <w:r w:rsidRPr="00302B24">
              <w:rPr>
                <w:rStyle w:val="negritanovedades"/>
                <w:b w:val="0"/>
                <w:lang w:val="es-AR" w:eastAsia="es-AR"/>
              </w:rPr>
              <w:t>Nivel general 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02B24" w:rsidRPr="00302B24" w:rsidRDefault="00302B24" w:rsidP="0048540A">
            <w:pPr>
              <w:jc w:val="center"/>
              <w:rPr>
                <w:rStyle w:val="negritanovedades"/>
                <w:b w:val="0"/>
                <w:lang w:val="es-AR" w:eastAsia="es-AR"/>
              </w:rPr>
            </w:pPr>
            <w:r w:rsidRPr="00302B24">
              <w:rPr>
                <w:rStyle w:val="negritanovedades"/>
                <w:b w:val="0"/>
                <w:lang w:val="es-AR" w:eastAsia="es-AR"/>
              </w:rPr>
              <w:t>ENERO 2020 (*)</w:t>
            </w:r>
          </w:p>
        </w:tc>
      </w:tr>
      <w:tr w:rsidR="00302B24" w:rsidRPr="00302B24" w:rsidTr="00302B24">
        <w:trPr>
          <w:trHeight w:val="144"/>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2B24" w:rsidRPr="00302B24" w:rsidRDefault="00302B24" w:rsidP="0048540A">
            <w:pPr>
              <w:rPr>
                <w:rStyle w:val="negritanovedades"/>
                <w:b w:val="0"/>
                <w:lang w:val="es-AR" w:eastAsia="es-AR"/>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02B24" w:rsidRPr="00302B24" w:rsidRDefault="00302B24" w:rsidP="0048540A">
            <w:pPr>
              <w:jc w:val="center"/>
              <w:rPr>
                <w:rStyle w:val="negritanovedades"/>
                <w:b w:val="0"/>
                <w:lang w:val="es-AR" w:eastAsia="es-AR"/>
              </w:rPr>
            </w:pPr>
            <w:r w:rsidRPr="00302B24">
              <w:rPr>
                <w:rStyle w:val="negritanovedades"/>
                <w:b w:val="0"/>
                <w:lang w:val="es-AR" w:eastAsia="es-AR"/>
              </w:rPr>
              <w:t>Variación % respecto al mes anterior</w:t>
            </w:r>
          </w:p>
        </w:tc>
      </w:tr>
      <w:tr w:rsidR="00302B24" w:rsidRPr="00302B24" w:rsidTr="00302B24">
        <w:trPr>
          <w:trHeight w:val="54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02B24" w:rsidRPr="00302B24" w:rsidRDefault="00302B24" w:rsidP="0048540A">
            <w:pPr>
              <w:jc w:val="center"/>
              <w:rPr>
                <w:rStyle w:val="negritanovedades"/>
                <w:b w:val="0"/>
                <w:lang w:val="es-AR" w:eastAsia="es-AR"/>
              </w:rPr>
            </w:pPr>
            <w:r w:rsidRPr="00302B24">
              <w:rPr>
                <w:rStyle w:val="negritanovedades"/>
                <w:b w:val="0"/>
                <w:lang w:val="es-AR" w:eastAsia="es-AR"/>
              </w:rPr>
              <w:t>Índice de Precios Internos al por Mayor (IPIM)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02B24" w:rsidRPr="00302B24" w:rsidRDefault="00302B24" w:rsidP="0048540A">
            <w:pPr>
              <w:jc w:val="center"/>
              <w:rPr>
                <w:rStyle w:val="negritanovedades"/>
                <w:b w:val="0"/>
                <w:lang w:val="es-AR" w:eastAsia="es-AR"/>
              </w:rPr>
            </w:pPr>
            <w:r w:rsidRPr="00302B24">
              <w:rPr>
                <w:rStyle w:val="negritanovedades"/>
                <w:b w:val="0"/>
                <w:lang w:val="es-AR" w:eastAsia="es-AR"/>
              </w:rPr>
              <w:t>1,5</w:t>
            </w:r>
          </w:p>
        </w:tc>
      </w:tr>
      <w:tr w:rsidR="00302B24" w:rsidRPr="00302B24" w:rsidTr="00302B24">
        <w:trPr>
          <w:trHeight w:val="555"/>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02B24" w:rsidRPr="00302B24" w:rsidRDefault="00302B24" w:rsidP="0048540A">
            <w:pPr>
              <w:jc w:val="center"/>
              <w:rPr>
                <w:rStyle w:val="negritanovedades"/>
                <w:b w:val="0"/>
                <w:lang w:val="es-AR" w:eastAsia="es-AR"/>
              </w:rPr>
            </w:pPr>
            <w:r w:rsidRPr="00302B24">
              <w:rPr>
                <w:rStyle w:val="negritanovedades"/>
                <w:b w:val="0"/>
                <w:lang w:val="es-AR" w:eastAsia="es-AR"/>
              </w:rPr>
              <w:t>Índice de Precios Internos Básicos al por Mayor (IPIB)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02B24" w:rsidRPr="00302B24" w:rsidRDefault="00302B24" w:rsidP="0048540A">
            <w:pPr>
              <w:jc w:val="center"/>
              <w:rPr>
                <w:rStyle w:val="negritanovedades"/>
                <w:b w:val="0"/>
                <w:lang w:val="es-AR" w:eastAsia="es-AR"/>
              </w:rPr>
            </w:pPr>
            <w:r w:rsidRPr="00302B24">
              <w:rPr>
                <w:rStyle w:val="negritanovedades"/>
                <w:b w:val="0"/>
                <w:lang w:val="es-AR" w:eastAsia="es-AR"/>
              </w:rPr>
              <w:t>1,7</w:t>
            </w:r>
          </w:p>
        </w:tc>
      </w:tr>
      <w:tr w:rsidR="00302B24" w:rsidRPr="00302B24" w:rsidTr="00302B24">
        <w:trPr>
          <w:trHeight w:val="555"/>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02B24" w:rsidRPr="00302B24" w:rsidRDefault="00302B24" w:rsidP="0048540A">
            <w:pPr>
              <w:jc w:val="center"/>
              <w:rPr>
                <w:rStyle w:val="negritanovedades"/>
                <w:b w:val="0"/>
                <w:lang w:val="es-AR" w:eastAsia="es-AR"/>
              </w:rPr>
            </w:pPr>
            <w:r w:rsidRPr="00302B24">
              <w:rPr>
                <w:rStyle w:val="negritanovedades"/>
                <w:b w:val="0"/>
                <w:lang w:val="es-AR" w:eastAsia="es-AR"/>
              </w:rPr>
              <w:t>Índice de Precios Básicos del Productor (IPP)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02B24" w:rsidRPr="00302B24" w:rsidRDefault="00302B24" w:rsidP="0048540A">
            <w:pPr>
              <w:jc w:val="center"/>
              <w:rPr>
                <w:rStyle w:val="negritanovedades"/>
                <w:b w:val="0"/>
                <w:lang w:val="es-AR" w:eastAsia="es-AR"/>
              </w:rPr>
            </w:pPr>
            <w:r w:rsidRPr="00302B24">
              <w:rPr>
                <w:rStyle w:val="negritanovedades"/>
                <w:b w:val="0"/>
                <w:lang w:val="es-AR" w:eastAsia="es-AR"/>
              </w:rPr>
              <w:t>1,9</w:t>
            </w:r>
          </w:p>
        </w:tc>
      </w:tr>
      <w:tr w:rsidR="00302B24" w:rsidRPr="00302B24" w:rsidTr="00302B24">
        <w:trPr>
          <w:trHeight w:val="555"/>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02B24" w:rsidRPr="00302B24" w:rsidRDefault="00302B24" w:rsidP="0048540A">
            <w:pPr>
              <w:jc w:val="center"/>
              <w:rPr>
                <w:rStyle w:val="negritanovedades"/>
                <w:b w:val="0"/>
                <w:lang w:val="es-AR" w:eastAsia="es-AR"/>
              </w:rPr>
            </w:pPr>
            <w:r w:rsidRPr="00302B24">
              <w:rPr>
                <w:rStyle w:val="negritanovedades"/>
                <w:b w:val="0"/>
                <w:lang w:val="es-AR" w:eastAsia="es-AR"/>
              </w:rPr>
              <w:t>Índice del Costo de la Construcción Gran Bs. 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02B24" w:rsidRPr="00302B24" w:rsidRDefault="00302B24" w:rsidP="0048540A">
            <w:pPr>
              <w:jc w:val="center"/>
              <w:rPr>
                <w:rStyle w:val="negritanovedades"/>
                <w:b w:val="0"/>
                <w:lang w:val="es-AR" w:eastAsia="es-AR"/>
              </w:rPr>
            </w:pPr>
            <w:r w:rsidRPr="00302B24">
              <w:rPr>
                <w:rStyle w:val="negritanovedades"/>
                <w:b w:val="0"/>
                <w:lang w:val="es-AR" w:eastAsia="es-AR"/>
              </w:rPr>
              <w:t>5,2</w:t>
            </w:r>
          </w:p>
        </w:tc>
      </w:tr>
    </w:tbl>
    <w:p w:rsidR="009C0E48" w:rsidRPr="00302B24" w:rsidRDefault="00302B24" w:rsidP="00302B24">
      <w:pPr>
        <w:pStyle w:val="NormalWeb"/>
        <w:spacing w:before="0" w:beforeAutospacing="0" w:after="0" w:afterAutospacing="0"/>
        <w:jc w:val="center"/>
        <w:rPr>
          <w:rStyle w:val="negritanovedades"/>
          <w:b w:val="0"/>
          <w:lang w:val="es-AR" w:eastAsia="es-AR"/>
        </w:rPr>
      </w:pPr>
      <w:r w:rsidRPr="00302B24">
        <w:rPr>
          <w:rStyle w:val="negritanovedades"/>
          <w:b w:val="0"/>
          <w:lang w:val="es-AR" w:eastAsia="es-AR"/>
        </w:rPr>
        <w:br/>
      </w:r>
      <w:r w:rsidRPr="00302B24">
        <w:rPr>
          <w:rStyle w:val="negritanovedades"/>
          <w:b w:val="0"/>
          <w:lang w:val="es-AR" w:eastAsia="es-AR"/>
        </w:rPr>
        <w:br/>
        <w:t>(*) Dato provisorio</w:t>
      </w:r>
    </w:p>
    <w:sectPr w:rsidR="009C0E48" w:rsidRPr="00302B24" w:rsidSect="002A1585">
      <w:headerReference w:type="default" r:id="rId10"/>
      <w:footerReference w:type="default" r:id="rId11"/>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8B5" w:rsidRDefault="00E448B5" w:rsidP="00A22916">
      <w:r>
        <w:separator/>
      </w:r>
    </w:p>
  </w:endnote>
  <w:endnote w:type="continuationSeparator" w:id="0">
    <w:p w:rsidR="00E448B5" w:rsidRDefault="00E448B5"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8B5" w:rsidRDefault="00E448B5"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302B24" w:rsidRPr="00302B24">
        <w:rPr>
          <w:rFonts w:asciiTheme="majorHAnsi" w:hAnsiTheme="majorHAnsi"/>
          <w:noProof/>
        </w:rPr>
        <w:t>7</w:t>
      </w:r>
    </w:fldSimple>
  </w:p>
  <w:p w:rsidR="00E448B5" w:rsidRDefault="00E448B5" w:rsidP="0063669F">
    <w:pPr>
      <w:pStyle w:val="Piedepgina"/>
    </w:pPr>
  </w:p>
  <w:p w:rsidR="00E448B5" w:rsidRDefault="00E448B5" w:rsidP="0063669F">
    <w:pPr>
      <w:pStyle w:val="Piedepgina"/>
    </w:pPr>
  </w:p>
  <w:p w:rsidR="00E448B5" w:rsidRDefault="00E448B5"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8B5" w:rsidRDefault="00E448B5" w:rsidP="00A22916">
      <w:r>
        <w:separator/>
      </w:r>
    </w:p>
  </w:footnote>
  <w:footnote w:type="continuationSeparator" w:id="0">
    <w:p w:rsidR="00E448B5" w:rsidRDefault="00E448B5"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8B5" w:rsidRDefault="00E448B5"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8-20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93E77"/>
    <w:multiLevelType w:val="multilevel"/>
    <w:tmpl w:val="41F0F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ED11D0E"/>
    <w:multiLevelType w:val="multilevel"/>
    <w:tmpl w:val="B58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D0343E3"/>
    <w:multiLevelType w:val="multilevel"/>
    <w:tmpl w:val="4DF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A32318"/>
    <w:multiLevelType w:val="hybridMultilevel"/>
    <w:tmpl w:val="355C8A18"/>
    <w:lvl w:ilvl="0" w:tplc="2C0A000B">
      <w:start w:val="1"/>
      <w:numFmt w:val="bullet"/>
      <w:lvlText w:val=""/>
      <w:lvlJc w:val="left"/>
      <w:pPr>
        <w:ind w:left="720" w:hanging="360"/>
      </w:pPr>
      <w:rPr>
        <w:rFonts w:ascii="Wingdings" w:hAnsi="Wingdings" w:hint="default"/>
      </w:rPr>
    </w:lvl>
    <w:lvl w:ilvl="1" w:tplc="2250D43E">
      <w:numFmt w:val="bullet"/>
      <w:lvlText w:val=""/>
      <w:lvlJc w:val="left"/>
      <w:pPr>
        <w:ind w:left="1440" w:hanging="360"/>
      </w:pPr>
      <w:rPr>
        <w:rFonts w:ascii="Symbol" w:eastAsia="Times New Roman" w:hAnsi="Symbo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263567E2"/>
    <w:multiLevelType w:val="hybridMultilevel"/>
    <w:tmpl w:val="A39AC372"/>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9">
    <w:nsid w:val="2F576088"/>
    <w:multiLevelType w:val="hybridMultilevel"/>
    <w:tmpl w:val="545CB0A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43042A9A"/>
    <w:multiLevelType w:val="multilevel"/>
    <w:tmpl w:val="2974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44163635"/>
    <w:multiLevelType w:val="multilevel"/>
    <w:tmpl w:val="A0BA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0E1DD3"/>
    <w:multiLevelType w:val="hybridMultilevel"/>
    <w:tmpl w:val="A628C3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6A661E6"/>
    <w:multiLevelType w:val="hybridMultilevel"/>
    <w:tmpl w:val="0CF8E57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47C3B10"/>
    <w:multiLevelType w:val="multilevel"/>
    <w:tmpl w:val="1BD2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5">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00532C3"/>
    <w:multiLevelType w:val="hybridMultilevel"/>
    <w:tmpl w:val="008A2C2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8"/>
  </w:num>
  <w:num w:numId="7">
    <w:abstractNumId w:val="35"/>
  </w:num>
  <w:num w:numId="8">
    <w:abstractNumId w:val="34"/>
  </w:num>
  <w:num w:numId="9">
    <w:abstractNumId w:val="18"/>
  </w:num>
  <w:num w:numId="10">
    <w:abstractNumId w:val="31"/>
  </w:num>
  <w:num w:numId="11">
    <w:abstractNumId w:val="17"/>
  </w:num>
  <w:num w:numId="12">
    <w:abstractNumId w:val="20"/>
  </w:num>
  <w:num w:numId="13">
    <w:abstractNumId w:val="21"/>
  </w:num>
  <w:num w:numId="14">
    <w:abstractNumId w:val="9"/>
  </w:num>
  <w:num w:numId="15">
    <w:abstractNumId w:val="14"/>
  </w:num>
  <w:num w:numId="16">
    <w:abstractNumId w:val="6"/>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28"/>
  </w:num>
  <w:num w:numId="20">
    <w:abstractNumId w:val="2"/>
  </w:num>
  <w:num w:numId="21">
    <w:abstractNumId w:val="8"/>
  </w:num>
  <w:num w:numId="22">
    <w:abstractNumId w:val="32"/>
  </w:num>
  <w:num w:numId="23">
    <w:abstractNumId w:val="5"/>
  </w:num>
  <w:num w:numId="24">
    <w:abstractNumId w:val="7"/>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3"/>
  </w:num>
  <w:num w:numId="28">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7"/>
  </w:num>
  <w:num w:numId="31">
    <w:abstractNumId w:val="13"/>
  </w:num>
  <w:num w:numId="32">
    <w:abstractNumId w:val="12"/>
  </w:num>
  <w:num w:numId="33">
    <w:abstractNumId w:val="19"/>
  </w:num>
  <w:num w:numId="34">
    <w:abstractNumId w:val="29"/>
  </w:num>
  <w:num w:numId="3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6"/>
  </w:num>
  <w:num w:numId="39">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237"/>
    <w:rsid w:val="00006B7B"/>
    <w:rsid w:val="00010986"/>
    <w:rsid w:val="00010993"/>
    <w:rsid w:val="00011E32"/>
    <w:rsid w:val="000141BB"/>
    <w:rsid w:val="0001798D"/>
    <w:rsid w:val="00020720"/>
    <w:rsid w:val="00024857"/>
    <w:rsid w:val="00024BA0"/>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5746"/>
    <w:rsid w:val="00086651"/>
    <w:rsid w:val="00086A6F"/>
    <w:rsid w:val="00087F32"/>
    <w:rsid w:val="00087F90"/>
    <w:rsid w:val="000902D4"/>
    <w:rsid w:val="00091AF1"/>
    <w:rsid w:val="000938D2"/>
    <w:rsid w:val="00093DD6"/>
    <w:rsid w:val="000959E0"/>
    <w:rsid w:val="000A444A"/>
    <w:rsid w:val="000A498D"/>
    <w:rsid w:val="000B1065"/>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767B"/>
    <w:rsid w:val="00122901"/>
    <w:rsid w:val="001245FD"/>
    <w:rsid w:val="0012658E"/>
    <w:rsid w:val="00126ACA"/>
    <w:rsid w:val="00134995"/>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18AA"/>
    <w:rsid w:val="00193005"/>
    <w:rsid w:val="00195BB4"/>
    <w:rsid w:val="0019731C"/>
    <w:rsid w:val="001A31B7"/>
    <w:rsid w:val="001A4644"/>
    <w:rsid w:val="001A5BCA"/>
    <w:rsid w:val="001B127D"/>
    <w:rsid w:val="001B1392"/>
    <w:rsid w:val="001B1B26"/>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4B8"/>
    <w:rsid w:val="002A3555"/>
    <w:rsid w:val="002B06F2"/>
    <w:rsid w:val="002B09F0"/>
    <w:rsid w:val="002B1B93"/>
    <w:rsid w:val="002B1FF7"/>
    <w:rsid w:val="002B2A40"/>
    <w:rsid w:val="002B3E46"/>
    <w:rsid w:val="002B5F87"/>
    <w:rsid w:val="002C01BA"/>
    <w:rsid w:val="002C0AA7"/>
    <w:rsid w:val="002C2500"/>
    <w:rsid w:val="002C3ED4"/>
    <w:rsid w:val="002C5F80"/>
    <w:rsid w:val="002D15E2"/>
    <w:rsid w:val="002D1AF7"/>
    <w:rsid w:val="002D2CE9"/>
    <w:rsid w:val="002D335C"/>
    <w:rsid w:val="002D5824"/>
    <w:rsid w:val="002D6A6D"/>
    <w:rsid w:val="002D7BF7"/>
    <w:rsid w:val="002D7C89"/>
    <w:rsid w:val="002D7DD8"/>
    <w:rsid w:val="002E03B4"/>
    <w:rsid w:val="002E2C7D"/>
    <w:rsid w:val="002E3DF1"/>
    <w:rsid w:val="002E57F7"/>
    <w:rsid w:val="002F0DAC"/>
    <w:rsid w:val="002F171E"/>
    <w:rsid w:val="002F4211"/>
    <w:rsid w:val="002F5190"/>
    <w:rsid w:val="002F77C6"/>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165A"/>
    <w:rsid w:val="00342475"/>
    <w:rsid w:val="00351287"/>
    <w:rsid w:val="00354827"/>
    <w:rsid w:val="00354D8B"/>
    <w:rsid w:val="00356793"/>
    <w:rsid w:val="00356AE3"/>
    <w:rsid w:val="00356E00"/>
    <w:rsid w:val="00363D85"/>
    <w:rsid w:val="00366324"/>
    <w:rsid w:val="003669E8"/>
    <w:rsid w:val="0037064F"/>
    <w:rsid w:val="00371368"/>
    <w:rsid w:val="00373FA9"/>
    <w:rsid w:val="00383AD6"/>
    <w:rsid w:val="00383E0A"/>
    <w:rsid w:val="00384AD2"/>
    <w:rsid w:val="00386E80"/>
    <w:rsid w:val="00387F1F"/>
    <w:rsid w:val="003A0047"/>
    <w:rsid w:val="003A1FE2"/>
    <w:rsid w:val="003A2813"/>
    <w:rsid w:val="003A4228"/>
    <w:rsid w:val="003A570E"/>
    <w:rsid w:val="003A7B3C"/>
    <w:rsid w:val="003B0D3B"/>
    <w:rsid w:val="003B2804"/>
    <w:rsid w:val="003B3D0A"/>
    <w:rsid w:val="003B674E"/>
    <w:rsid w:val="003B7810"/>
    <w:rsid w:val="003C0DB9"/>
    <w:rsid w:val="003D0EDE"/>
    <w:rsid w:val="003D1833"/>
    <w:rsid w:val="003D7987"/>
    <w:rsid w:val="003E023C"/>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30834"/>
    <w:rsid w:val="00430CD3"/>
    <w:rsid w:val="00435CE1"/>
    <w:rsid w:val="00437F8F"/>
    <w:rsid w:val="004407D1"/>
    <w:rsid w:val="00443529"/>
    <w:rsid w:val="00443CD0"/>
    <w:rsid w:val="004503E0"/>
    <w:rsid w:val="00450B7D"/>
    <w:rsid w:val="00455005"/>
    <w:rsid w:val="00455EBD"/>
    <w:rsid w:val="004569CE"/>
    <w:rsid w:val="00456DA9"/>
    <w:rsid w:val="00461716"/>
    <w:rsid w:val="00462760"/>
    <w:rsid w:val="0047057E"/>
    <w:rsid w:val="004712E3"/>
    <w:rsid w:val="0047344F"/>
    <w:rsid w:val="0047412D"/>
    <w:rsid w:val="004760AD"/>
    <w:rsid w:val="00477975"/>
    <w:rsid w:val="00483559"/>
    <w:rsid w:val="00483F29"/>
    <w:rsid w:val="00484465"/>
    <w:rsid w:val="00484F8D"/>
    <w:rsid w:val="00487999"/>
    <w:rsid w:val="00487BC1"/>
    <w:rsid w:val="00492615"/>
    <w:rsid w:val="004932E8"/>
    <w:rsid w:val="0049407F"/>
    <w:rsid w:val="00496327"/>
    <w:rsid w:val="004969BB"/>
    <w:rsid w:val="004974E0"/>
    <w:rsid w:val="00497CF4"/>
    <w:rsid w:val="004A4833"/>
    <w:rsid w:val="004A6946"/>
    <w:rsid w:val="004B103F"/>
    <w:rsid w:val="004B35EC"/>
    <w:rsid w:val="004B3914"/>
    <w:rsid w:val="004B449C"/>
    <w:rsid w:val="004B5CEC"/>
    <w:rsid w:val="004C0A06"/>
    <w:rsid w:val="004C26EB"/>
    <w:rsid w:val="004C3712"/>
    <w:rsid w:val="004C3EC4"/>
    <w:rsid w:val="004C456A"/>
    <w:rsid w:val="004C6C9F"/>
    <w:rsid w:val="004C725D"/>
    <w:rsid w:val="004D144A"/>
    <w:rsid w:val="004D1D0A"/>
    <w:rsid w:val="004D2218"/>
    <w:rsid w:val="004D3372"/>
    <w:rsid w:val="004D4BFE"/>
    <w:rsid w:val="004D5A93"/>
    <w:rsid w:val="004D7E15"/>
    <w:rsid w:val="004E007C"/>
    <w:rsid w:val="004E11B3"/>
    <w:rsid w:val="004E1502"/>
    <w:rsid w:val="004E150F"/>
    <w:rsid w:val="004E2070"/>
    <w:rsid w:val="004E228E"/>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16F1"/>
    <w:rsid w:val="00551A1F"/>
    <w:rsid w:val="00552D41"/>
    <w:rsid w:val="005533E7"/>
    <w:rsid w:val="00557631"/>
    <w:rsid w:val="005578BC"/>
    <w:rsid w:val="005616AD"/>
    <w:rsid w:val="005616C9"/>
    <w:rsid w:val="00561E9D"/>
    <w:rsid w:val="00567FFD"/>
    <w:rsid w:val="00570A1F"/>
    <w:rsid w:val="0057177B"/>
    <w:rsid w:val="0057178D"/>
    <w:rsid w:val="0058111C"/>
    <w:rsid w:val="005816C7"/>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1EFB"/>
    <w:rsid w:val="006C306C"/>
    <w:rsid w:val="006C66B7"/>
    <w:rsid w:val="006D1AF4"/>
    <w:rsid w:val="006D46BD"/>
    <w:rsid w:val="006D716F"/>
    <w:rsid w:val="006E5CD5"/>
    <w:rsid w:val="006E75AB"/>
    <w:rsid w:val="006E79DC"/>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6B72"/>
    <w:rsid w:val="0074014A"/>
    <w:rsid w:val="00742655"/>
    <w:rsid w:val="00742FF7"/>
    <w:rsid w:val="00745098"/>
    <w:rsid w:val="0074517C"/>
    <w:rsid w:val="00745FFC"/>
    <w:rsid w:val="007463A3"/>
    <w:rsid w:val="00751290"/>
    <w:rsid w:val="00752FF3"/>
    <w:rsid w:val="00753FB6"/>
    <w:rsid w:val="007556B7"/>
    <w:rsid w:val="00755A11"/>
    <w:rsid w:val="007615D5"/>
    <w:rsid w:val="007619B6"/>
    <w:rsid w:val="00762024"/>
    <w:rsid w:val="00772C47"/>
    <w:rsid w:val="00773130"/>
    <w:rsid w:val="00773206"/>
    <w:rsid w:val="0077364B"/>
    <w:rsid w:val="0077400C"/>
    <w:rsid w:val="00776B2D"/>
    <w:rsid w:val="00776F54"/>
    <w:rsid w:val="00781FDB"/>
    <w:rsid w:val="007822DF"/>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4195"/>
    <w:rsid w:val="007F74B0"/>
    <w:rsid w:val="00801B11"/>
    <w:rsid w:val="008035FD"/>
    <w:rsid w:val="008051D9"/>
    <w:rsid w:val="008057A5"/>
    <w:rsid w:val="00807984"/>
    <w:rsid w:val="00807F0C"/>
    <w:rsid w:val="0081031F"/>
    <w:rsid w:val="00811BCC"/>
    <w:rsid w:val="00812E22"/>
    <w:rsid w:val="008150F3"/>
    <w:rsid w:val="00815E69"/>
    <w:rsid w:val="00816D24"/>
    <w:rsid w:val="008238D3"/>
    <w:rsid w:val="00827838"/>
    <w:rsid w:val="008316C9"/>
    <w:rsid w:val="008336C6"/>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8157D"/>
    <w:rsid w:val="0088764F"/>
    <w:rsid w:val="00890DB8"/>
    <w:rsid w:val="00894C64"/>
    <w:rsid w:val="0089551F"/>
    <w:rsid w:val="00897BE8"/>
    <w:rsid w:val="008A40E4"/>
    <w:rsid w:val="008A4816"/>
    <w:rsid w:val="008B03B5"/>
    <w:rsid w:val="008B169F"/>
    <w:rsid w:val="008B173D"/>
    <w:rsid w:val="008B32BE"/>
    <w:rsid w:val="008B48AF"/>
    <w:rsid w:val="008B4F6A"/>
    <w:rsid w:val="008B6E61"/>
    <w:rsid w:val="008C04BC"/>
    <w:rsid w:val="008C1537"/>
    <w:rsid w:val="008C19D9"/>
    <w:rsid w:val="008C33A4"/>
    <w:rsid w:val="008C4219"/>
    <w:rsid w:val="008C6A53"/>
    <w:rsid w:val="008C7B0A"/>
    <w:rsid w:val="008D06FE"/>
    <w:rsid w:val="008D1DA1"/>
    <w:rsid w:val="008D2886"/>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1ACE"/>
    <w:rsid w:val="00953583"/>
    <w:rsid w:val="00954837"/>
    <w:rsid w:val="00955F3D"/>
    <w:rsid w:val="00957658"/>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C0E48"/>
    <w:rsid w:val="009C1F29"/>
    <w:rsid w:val="009C49CB"/>
    <w:rsid w:val="009D2066"/>
    <w:rsid w:val="009D44D5"/>
    <w:rsid w:val="009D4CBF"/>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0791D"/>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B2D"/>
    <w:rsid w:val="00A9401F"/>
    <w:rsid w:val="00A94DF6"/>
    <w:rsid w:val="00A97F7F"/>
    <w:rsid w:val="00AA0C38"/>
    <w:rsid w:val="00AA2436"/>
    <w:rsid w:val="00AA2AB5"/>
    <w:rsid w:val="00AA5FC8"/>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16A0"/>
    <w:rsid w:val="00B436EB"/>
    <w:rsid w:val="00B44ED8"/>
    <w:rsid w:val="00B46298"/>
    <w:rsid w:val="00B462DB"/>
    <w:rsid w:val="00B50095"/>
    <w:rsid w:val="00B5082D"/>
    <w:rsid w:val="00B50F66"/>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C725C"/>
    <w:rsid w:val="00BC72AF"/>
    <w:rsid w:val="00BD1199"/>
    <w:rsid w:val="00BD286D"/>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063FC"/>
    <w:rsid w:val="00C16897"/>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99"/>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D00832"/>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6094"/>
    <w:rsid w:val="00D8733D"/>
    <w:rsid w:val="00D90A26"/>
    <w:rsid w:val="00D951BB"/>
    <w:rsid w:val="00D95910"/>
    <w:rsid w:val="00D978A4"/>
    <w:rsid w:val="00DA34B5"/>
    <w:rsid w:val="00DA4170"/>
    <w:rsid w:val="00DA7B32"/>
    <w:rsid w:val="00DB374E"/>
    <w:rsid w:val="00DB3E82"/>
    <w:rsid w:val="00DB4EAF"/>
    <w:rsid w:val="00DB5419"/>
    <w:rsid w:val="00DB5C26"/>
    <w:rsid w:val="00DB660E"/>
    <w:rsid w:val="00DB7AEE"/>
    <w:rsid w:val="00DC01EF"/>
    <w:rsid w:val="00DC11B0"/>
    <w:rsid w:val="00DC197E"/>
    <w:rsid w:val="00DC3958"/>
    <w:rsid w:val="00DC5162"/>
    <w:rsid w:val="00DC67E6"/>
    <w:rsid w:val="00DC697C"/>
    <w:rsid w:val="00DC76A1"/>
    <w:rsid w:val="00DD4EB3"/>
    <w:rsid w:val="00DD71F0"/>
    <w:rsid w:val="00DE0214"/>
    <w:rsid w:val="00DE070E"/>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208A5"/>
    <w:rsid w:val="00E20E7A"/>
    <w:rsid w:val="00E20E89"/>
    <w:rsid w:val="00E26C42"/>
    <w:rsid w:val="00E27D8A"/>
    <w:rsid w:val="00E35D3D"/>
    <w:rsid w:val="00E40D9C"/>
    <w:rsid w:val="00E4269E"/>
    <w:rsid w:val="00E42CF2"/>
    <w:rsid w:val="00E448B5"/>
    <w:rsid w:val="00E503A6"/>
    <w:rsid w:val="00E50433"/>
    <w:rsid w:val="00E52026"/>
    <w:rsid w:val="00E554AC"/>
    <w:rsid w:val="00E5555E"/>
    <w:rsid w:val="00E576B6"/>
    <w:rsid w:val="00E57F81"/>
    <w:rsid w:val="00E60C50"/>
    <w:rsid w:val="00E61074"/>
    <w:rsid w:val="00E62121"/>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478"/>
    <w:rsid w:val="00EA482E"/>
    <w:rsid w:val="00EA6378"/>
    <w:rsid w:val="00EA770C"/>
    <w:rsid w:val="00EB166D"/>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1FB"/>
    <w:rsid w:val="00F42668"/>
    <w:rsid w:val="00F44638"/>
    <w:rsid w:val="00F478EC"/>
    <w:rsid w:val="00F500D0"/>
    <w:rsid w:val="00F53620"/>
    <w:rsid w:val="00F542F5"/>
    <w:rsid w:val="00F54A5E"/>
    <w:rsid w:val="00F55D28"/>
    <w:rsid w:val="00F56404"/>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uiPriority w:val="99"/>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semiHidden/>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semiHidden/>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erreparmail.com/access.epl?shopperID=929875&amp;actionCode=53200&amp;enterCode=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lick.erreparmail.com/access.epl?shopperID=929875&amp;actionCode=53200&amp;enterCod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9E8EA-4496-4AC2-AF76-80DB466F6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2023</Words>
  <Characters>11132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3</cp:revision>
  <dcterms:created xsi:type="dcterms:W3CDTF">2020-02-24T14:27:00Z</dcterms:created>
  <dcterms:modified xsi:type="dcterms:W3CDTF">2020-02-24T14:51:00Z</dcterms:modified>
</cp:coreProperties>
</file>